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95472</w:instrText>
      </w:r>
      <w:r w:rsidRPr="00A74FC1">
        <w:rPr>
          <w:b/>
          <w:sz w:val="40"/>
          <w:szCs w:val="40"/>
        </w:rPr>
        <w:instrText xml:space="preserve"> &lt;&gt; "" "</w:instrText>
      </w:r>
      <w:r w:rsidRPr="00A74FC1">
        <w:rPr>
          <w:b/>
          <w:sz w:val="52"/>
          <w:szCs w:val="52"/>
        </w:rPr>
        <w:instrText>Psychiatry Grand Rounds 2025-26A – CME APA</w:instrText>
      </w:r>
    </w:p>
    <w:p w:rsidR="0059329F" w:rsidP="00481AB5">
      <w:pPr>
        <w:contextualSpacing/>
        <w:rPr>
          <w:b/>
          <w:noProof/>
          <w:sz w:val="40"/>
          <w:szCs w:val="40"/>
        </w:rPr>
      </w:pPr>
      <w:r>
        <w:rPr>
          <w:b/>
          <w:sz w:val="40"/>
          <w:szCs w:val="40"/>
        </w:rPr>
        <w:instrText>Psychiatry Grand Rounds 2025-26A – Justin Strickland - 8/28/2026 "Applying behavioral economics to advance tobacco regulatory and addiction science"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Psychiatry Grand Rounds 2025-26A – CME APA</w:t>
      </w:r>
    </w:p>
    <w:p w:rsidR="00FD3D76" w:rsidRPr="00A74FC1" w:rsidP="00481AB5">
      <w:pPr>
        <w:contextualSpacing/>
        <w:rPr>
          <w:b/>
          <w:sz w:val="40"/>
          <w:szCs w:val="40"/>
        </w:rPr>
      </w:pPr>
      <w:r>
        <w:rPr>
          <w:b/>
          <w:sz w:val="40"/>
          <w:szCs w:val="40"/>
        </w:rPr>
        <w:t xml:space="preserve">Psychiatry Grand Rounds 2025-26A – Justin Strickland - 8/28/2026 </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12:00</w:t>
      </w:r>
      <w:r w:rsidRPr="00145184" w:rsidR="00A17BBD">
        <w:t xml:space="preserve"> August 28, 2026</w:t>
      </w:r>
      <w:r w:rsidR="00BC157D">
        <w:t xml:space="preserve"> </w:t>
      </w:r>
      <w:r w:rsidR="00A41F81">
        <w:t xml:space="preserve"> - </w:t>
      </w:r>
      <w:r w:rsidR="00A41F81">
        <w:t>01:00 August, 28, 2026</w:t>
      </w:r>
      <w:r>
        <w:fldChar w:fldCharType="begin"/>
      </w:r>
      <w:r>
        <w:instrText xml:space="preserve"> IF </w:instrText>
      </w:r>
      <w:r w:rsidR="00B82851">
        <w:instrText>Other</w:instrText>
      </w:r>
      <w:r>
        <w:instrText xml:space="preserve"> &lt;&gt; "" "</w:instrText>
      </w:r>
    </w:p>
    <w:p w:rsidR="0059329F" w:rsidP="00481AB5">
      <w:pPr>
        <w:contextualSpacing/>
        <w:rPr>
          <w:noProof/>
        </w:rPr>
      </w:pPr>
      <w:r>
        <w:instrText xml:space="preserve">Location: </w:instrText>
      </w:r>
      <w:r>
        <w:rPr>
          <w:noProof/>
        </w:rPr>
        <w:instrText>Other</w:instrText>
      </w:r>
      <w:r>
        <w:instrText xml:space="preserve">" "" </w:instrText>
      </w:r>
      <w:r>
        <w:fldChar w:fldCharType="separate"/>
      </w:r>
    </w:p>
    <w:p w:rsidR="00C24750" w:rsidP="00481AB5">
      <w:pPr>
        <w:contextualSpacing/>
      </w:pPr>
      <w:r>
        <w:t xml:space="preserve">Location: </w:t>
      </w:r>
      <w:r w:rsidR="0059329F">
        <w:rPr>
          <w:noProof/>
        </w:rPr>
        <w:t>Other</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1.00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0F2091" w:rsidRPr="00AF78E1" w:rsidP="000F2091">
      <w:pPr>
        <w:contextualSpacing/>
        <w:rPr>
          <w:b/>
        </w:rPr>
      </w:pPr>
      <w:r>
        <w:rPr>
          <w:bCs/>
        </w:rPr>
        <w:instrText xml:space="preserve">" "" </w:instrText>
      </w:r>
      <w:r>
        <w:rPr>
          <w:bCs/>
        </w:rPr>
        <w:fldChar w:fldCharType="separate"/>
      </w:r>
      <w:r>
        <w:rPr>
          <w:bCs/>
        </w:rPr>
        <w:fldChar w:fldCharType="end"/>
      </w:r>
      <w:r w:rsidR="00072CAB">
        <w:rPr>
          <w:bCs/>
        </w:rPr>
        <w:fldChar w:fldCharType="begin"/>
      </w:r>
      <w:r w:rsidR="00072CAB">
        <w:rPr>
          <w:bCs/>
        </w:rPr>
        <w:instrText xml:space="preserve"> IF </w:instrText>
      </w:r>
      <w:r w:rsidR="00072CAB">
        <w:rPr>
          <w:bCs/>
        </w:rPr>
        <w:instrText>1.00</w:instrText>
      </w:r>
      <w:r w:rsidR="00072CAB">
        <w:rPr>
          <w:bCs/>
        </w:rPr>
        <w:instrText xml:space="preserve"> &gt; 0 "</w:instrText>
      </w:r>
      <w:r>
        <w:rPr>
          <w:b/>
        </w:rPr>
        <w:instrText>Approval</w:instrText>
      </w:r>
    </w:p>
    <w:p w:rsidR="00072CAB" w:rsidP="00481AB5">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B82851" w:rsidP="00B82851">
      <w:pPr>
        <w:pStyle w:val="NormalWeb"/>
      </w:pPr>
      <w:r>
        <w:rPr>
          <w:noProof/>
        </w:rPr>
        <w:drawing>
          <wp:inline distT="0" distB="0" distL="0" distR="0">
            <wp:extent cx="923925" cy="885825"/>
            <wp:effectExtent l="0" t="0" r="0" b="0"/>
            <wp:docPr id="1" name="Picture 1" descr="C:\Users\krentzs\AppData\Local\Microsoft\Windows\INetCache\Content.Outlook\Q66A7D80\AP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entzs\AppData\Local\Microsoft\Windows\INetCache\Content.Outlook\Q66A7D80\APA logo.png"/>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23925" cy="885825"/>
                    </a:xfrm>
                    <a:prstGeom prst="rect">
                      <a:avLst/>
                    </a:prstGeom>
                    <a:noFill/>
                    <a:ln>
                      <a:noFill/>
                    </a:ln>
                  </pic:spPr>
                </pic:pic>
              </a:graphicData>
            </a:graphic>
          </wp:inline>
        </w:drawing>
      </w:r>
    </w:p>
    <w:p w:rsidR="00072CAB" w:rsidP="00481AB5">
      <w:pPr>
        <w:contextualSpacing/>
        <w:rPr>
          <w:bCs/>
        </w:rPr>
      </w:pPr>
    </w:p>
    <w:p w:rsidR="00072CAB" w:rsidRPr="00072CAB" w:rsidP="00481AB5">
      <w:pPr>
        <w:contextualSpacing/>
        <w:rPr>
          <w:bCs/>
        </w:rPr>
      </w:pPr>
      <w:r>
        <w:rPr>
          <w:bCs/>
        </w:rPr>
        <w:instrText xml:space="preserve">" "" </w:instrText>
      </w:r>
      <w:r>
        <w:rPr>
          <w:bCs/>
        </w:rPr>
        <w:fldChar w:fldCharType="separate"/>
      </w:r>
      <w:r w:rsidR="000F2091">
        <w:rPr>
          <w:b/>
        </w:rPr>
        <w:t>Approval</w:t>
      </w:r>
    </w:p>
    <w:p w:rsidR="00072CAB" w:rsidP="00481AB5">
      <w:pPr>
        <w:contextualSpacing/>
        <w:rPr>
          <w:bCs/>
        </w:rPr>
      </w:pPr>
      <w:r w:rsidRPr="00072CAB">
        <w:rPr>
          <w:bCs/>
        </w:rPr>
        <w:t>Vanderbilt University Medical Center is approved by the American Psychological Association to sponsor continuing education for psychologists. Vanderbilt University Medical Center maintains responsibility for this program and its content.</w:t>
      </w:r>
    </w:p>
    <w:p w:rsidR="00B82851" w:rsidP="00B82851">
      <w:pPr>
        <w:pStyle w:val="NormalWeb"/>
      </w:pPr>
      <w:r>
        <w:rPr>
          <w:noProof/>
        </w:rPr>
        <w:drawing>
          <wp:inline distT="0" distB="0" distL="0" distR="0">
            <wp:extent cx="923925" cy="885825"/>
            <wp:effectExtent l="0" t="0" r="0" b="0"/>
            <wp:docPr id="1446855300" name="Picture 1" descr="C:\Users\krentzs\AppData\Local\Microsoft\Windows\INetCache\Content.Outlook\Q66A7D80\AP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entzs\AppData\Local\Microsoft\Windows\INetCache\Content.Outlook\Q66A7D80\APA logo.png"/>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23925" cy="885825"/>
                    </a:xfrm>
                    <a:prstGeom prst="rect">
                      <a:avLst/>
                    </a:prstGeom>
                    <a:noFill/>
                    <a:ln>
                      <a:noFill/>
                    </a:ln>
                  </pic:spPr>
                </pic:pic>
              </a:graphicData>
            </a:graphic>
          </wp:inline>
        </w:drawing>
      </w:r>
    </w:p>
    <w:p w:rsidR="00072CAB" w:rsidP="00481AB5">
      <w:pPr>
        <w:contextualSpacing/>
        <w:rPr>
          <w:bCs/>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Pr="00072CAB">
        <w:rPr>
          <w:bCs/>
        </w:rPr>
        <w:instrText xml:space="preserve">Continuing Education Credit: Vanderbilt University Medical Center is not an approved Dental Continuing Education provider and is not able to provide continuing education credit for participation. </w:instrText>
      </w:r>
    </w:p>
    <w:p w:rsidR="00072CAB" w:rsidRPr="00072CAB" w:rsidP="00481AB5">
      <w:pPr>
        <w:contextualSpacing/>
        <w:rPr>
          <w:bCs/>
        </w:rPr>
      </w:pPr>
    </w:p>
    <w:p w:rsidR="00072CAB" w:rsidP="00481AB5">
      <w:pPr>
        <w:contextualSpacing/>
        <w:rPr>
          <w:rStyle w:val="Hyperlink"/>
          <w:b/>
        </w:rPr>
      </w:pPr>
      <w:r w:rsidRPr="00072CAB">
        <w:rPr>
          <w:bCs/>
        </w:rPr>
        <w:instrText>The activity has received pre-approval for credit from the Tennessee Board of Dentistry, however participants seeking continuing education credit must apply to the Tennessee Board of Dentistry using the online form:</w:instrText>
      </w:r>
      <w:r>
        <w:rPr>
          <w:bCs/>
        </w:rPr>
        <w:instrText xml:space="preserve"> </w:instrText>
      </w:r>
      <w:r>
        <w:fldChar w:fldCharType="begin"/>
      </w:r>
      <w:r>
        <w:instrText xml:space="preserve"> HYPERLINK "https://vumc.cloud-cme.com/assets/vumc/pdf/PH-3867%20(COVID19%20Education%20Update%20for%20Dental%20Health%20Professionals).pdf" </w:instrText>
      </w:r>
      <w:r>
        <w:fldChar w:fldCharType="separate"/>
      </w:r>
      <w:r w:rsidRPr="00072CAB">
        <w:rPr>
          <w:rStyle w:val="Hyperlink"/>
          <w:b/>
        </w:rPr>
        <w:instrText>PH-3867 (COVID19 Education Update for Dental Health Professionals).pdf</w:instrText>
      </w:r>
      <w:r>
        <w:fldChar w:fldCharType="end"/>
      </w:r>
    </w:p>
    <w:p w:rsidR="00CC208F" w:rsidRPr="00072CAB" w:rsidP="00481AB5">
      <w:pPr>
        <w:contextualSpacing/>
        <w:rPr>
          <w:rStyle w:val="Hyperlink"/>
          <w:bCs/>
        </w:rPr>
      </w:pPr>
    </w:p>
    <w:p w:rsidR="00CC208F" w:rsidRPr="00AF78E1" w:rsidP="00481AB5">
      <w:pPr>
        <w:contextualSpacing/>
        <w:rPr>
          <w:b/>
        </w:rPr>
      </w:pPr>
      <w:r>
        <w:rPr>
          <w:bCs/>
        </w:rPr>
        <w:instrText xml:space="preserve">" "" </w:instrText>
      </w:r>
      <w:r>
        <w:rPr>
          <w:bCs/>
        </w:rPr>
        <w:fldChar w:fldCharType="separate"/>
      </w:r>
      <w:r>
        <w:rPr>
          <w:bCs/>
        </w:rPr>
        <w:fldChar w:fldCharType="end"/>
      </w: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1.00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1.00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1.00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1.00</w:instrText>
      </w:r>
      <w:r>
        <w:rPr>
          <w:bCs/>
        </w:rPr>
        <w:instrText xml:space="preserve"> &gt; 0 "This activity is designated to award </w:instrText>
      </w:r>
      <w:r>
        <w:rPr>
          <w:bCs/>
        </w:rPr>
        <w:instrText>1.00</w:instrText>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t xml:space="preserve">This activity is designated to award </w:t>
      </w:r>
      <w:r>
        <w:rPr>
          <w:bCs/>
        </w:rPr>
        <w:t>1.00</w:t>
      </w:r>
      <w:r w:rsidR="006959B0">
        <w:rPr>
          <w:bCs/>
        </w:rPr>
        <w:t xml:space="preserve"> CE credit(s).</w:t>
      </w:r>
    </w:p>
    <w:p w:rsidR="006959B0" w:rsidP="00481AB5">
      <w:pPr>
        <w:contextualSpacing/>
        <w:rPr>
          <w:bCs/>
        </w:rPr>
      </w:pPr>
    </w:p>
    <w:p w:rsidP="00481AB5">
      <w:pPr>
        <w:contextualSpacing/>
        <w:rPr>
          <w:bCs/>
        </w:rPr>
      </w:pPr>
      <w:r>
        <w:rPr>
          <w:bCs/>
        </w:rPr>
        <w:fldChar w:fldCharType="end"/>
      </w:r>
      <w:r w:rsidR="00CE38A1">
        <w:rPr>
          <w:bCs/>
        </w:rPr>
        <w:fldChar w:fldCharType="begin"/>
      </w:r>
      <w:r w:rsidR="00CE38A1">
        <w:rPr>
          <w:bCs/>
        </w:rPr>
        <w:instrText xml:space="preserve"> IF </w:instrText>
      </w:r>
      <w:r w:rsidR="0059329F">
        <w:rPr>
          <w:bCs/>
        </w:rPr>
        <w:instrText>"</w:instrText>
      </w:r>
      <w:r w:rsidR="00CE38A1">
        <w:rPr>
          <w:bCs/>
        </w:rPr>
        <w:instrText>1 Describe and discuss guidelines, accepted best practice and evidence from recent research related to psychopathology, diagnosis, improving treatment selections, and educating patients about mental health illnesses.</w:instrText>
      </w:r>
    </w:p>
    <w:p w:rsidR="00CE38A1" w:rsidP="00481AB5">
      <w:pPr>
        <w:contextualSpacing/>
        <w:rPr>
          <w:bCs/>
        </w:rPr>
      </w:pPr>
      <w:r>
        <w:rPr>
          <w:bCs/>
        </w:rPr>
        <w:instrText>1 Describe two behavioral economic concepts commonly applied in addiction science</w:instrText>
      </w:r>
    </w:p>
    <w:p w:rsidR="00CE38A1" w:rsidP="00481AB5">
      <w:pPr>
        <w:contextualSpacing/>
        <w:rPr>
          <w:bCs/>
        </w:rPr>
      </w:pPr>
      <w:r>
        <w:rPr>
          <w:bCs/>
        </w:rPr>
        <w:instrText>2 Explain two major populations considered in tobacco regulatory science</w:instrText>
      </w:r>
    </w:p>
    <w:p w:rsidR="00CE38A1" w:rsidP="00481AB5">
      <w:pPr>
        <w:contextualSpacing/>
        <w:rPr>
          <w:bCs/>
        </w:rPr>
      </w:pPr>
      <w:r>
        <w:rPr>
          <w:bCs/>
        </w:rPr>
        <w:instrText>2 Describe and discuss strategies for implementing new approaches or revising current approaches to managing patients with mental health disorders that result in a balanced approach to pathophysiologic, diagnostic, and treatment paradigms for patient care</w:instrText>
      </w:r>
    </w:p>
    <w:p w:rsidR="00CE38A1" w:rsidP="00481AB5">
      <w:pPr>
        <w:contextualSpacing/>
        <w:rPr>
          <w:bCs/>
        </w:rPr>
      </w:pPr>
      <w:r>
        <w:rPr>
          <w:bCs/>
        </w:rPr>
        <w:instrText>3 Describe and discuss anticipated patient outcomes from revised or new management strategies</w:instrText>
      </w:r>
    </w:p>
    <w:p w:rsidR="00CE38A1" w:rsidP="00481AB5">
      <w:pPr>
        <w:contextualSpacing/>
        <w:rPr>
          <w:bCs/>
        </w:rPr>
      </w:pPr>
      <w:r>
        <w:rPr>
          <w:bCs/>
        </w:rPr>
        <w:instrText>3 Describe the continuum of risk for tobacco products.</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Describe and discuss guidelines, accepted best practice and evidence from recent research related to psychopathology, diagnosis, improving treatment selections, and educating patients about mental health illnesses.</w:instrText>
      </w:r>
    </w:p>
    <w:p w:rsidP="00481AB5">
      <w:pPr>
        <w:contextualSpacing/>
        <w:rPr>
          <w:bCs/>
        </w:rPr>
      </w:pPr>
      <w:r>
        <w:rPr>
          <w:bCs/>
        </w:rPr>
        <w:instrText>1 Describe two behavioral economic concepts commonly applied in addiction science</w:instrText>
      </w:r>
    </w:p>
    <w:p w:rsidP="00481AB5">
      <w:pPr>
        <w:contextualSpacing/>
        <w:rPr>
          <w:bCs/>
        </w:rPr>
      </w:pPr>
      <w:r>
        <w:rPr>
          <w:bCs/>
        </w:rPr>
        <w:instrText>2 Explain two major populations considered in tobacco regulatory science</w:instrText>
      </w:r>
    </w:p>
    <w:p w:rsidP="00481AB5">
      <w:pPr>
        <w:contextualSpacing/>
        <w:rPr>
          <w:bCs/>
        </w:rPr>
      </w:pPr>
      <w:r>
        <w:rPr>
          <w:bCs/>
        </w:rPr>
        <w:instrText>2 Describe and discuss strategies for implementing new approaches or revising current approaches to managing patients with mental health disorders that result in a balanced approach to pathophysiologic, diagnostic, and treatment paradigms for patient care</w:instrText>
      </w:r>
    </w:p>
    <w:p w:rsidP="00481AB5">
      <w:pPr>
        <w:contextualSpacing/>
        <w:rPr>
          <w:bCs/>
        </w:rPr>
      </w:pPr>
      <w:r>
        <w:rPr>
          <w:bCs/>
        </w:rPr>
        <w:instrText>3 Describe and discuss anticipated patient outcomes from revised or new management strategies</w:instrText>
      </w:r>
    </w:p>
    <w:p w:rsidP="00481AB5">
      <w:pPr>
        <w:contextualSpacing/>
        <w:rPr>
          <w:bCs/>
        </w:rPr>
      </w:pPr>
      <w:r>
        <w:rPr>
          <w:bCs/>
        </w:rPr>
        <w:instrText>3 Describe the continuum of risk for tobacco products.</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Describe and discuss guidelines, accepted best practice and evidence from recent research related to psychopathology, diagnosis, improving treatment selections, and educating patients about mental health illnesses.</w:t>
      </w:r>
    </w:p>
    <w:p w:rsidP="00481AB5">
      <w:pPr>
        <w:contextualSpacing/>
        <w:rPr>
          <w:bCs/>
        </w:rPr>
      </w:pPr>
      <w:r>
        <w:rPr>
          <w:bCs/>
        </w:rPr>
        <w:t>1 Describe two behavioral economic concepts commonly applied in addiction science</w:t>
      </w:r>
    </w:p>
    <w:p w:rsidP="00481AB5">
      <w:pPr>
        <w:contextualSpacing/>
        <w:rPr>
          <w:bCs/>
        </w:rPr>
      </w:pPr>
      <w:r>
        <w:rPr>
          <w:bCs/>
        </w:rPr>
        <w:t>2 Explain two major populations considered in tobacco regulatory science</w:t>
      </w:r>
    </w:p>
    <w:p w:rsidP="00481AB5">
      <w:pPr>
        <w:contextualSpacing/>
        <w:rPr>
          <w:bCs/>
        </w:rPr>
      </w:pPr>
      <w:r>
        <w:rPr>
          <w:bCs/>
        </w:rPr>
        <w:t>2 Describe and discuss strategies for implementing new approaches or revising current approaches to managing patients with mental health disorders that result in a balanced approach to pathophysiologic, diagnostic, and treatment paradigms for patient care</w:t>
      </w:r>
    </w:p>
    <w:p w:rsidP="00481AB5">
      <w:pPr>
        <w:contextualSpacing/>
        <w:rPr>
          <w:bCs/>
        </w:rPr>
      </w:pPr>
      <w:r>
        <w:rPr>
          <w:bCs/>
        </w:rPr>
        <w:t>3 Describe and discuss anticipated patient outcomes from revised or new management strategies</w:t>
      </w:r>
    </w:p>
    <w:p w:rsidP="00481AB5">
      <w:pPr>
        <w:contextualSpacing/>
        <w:rPr>
          <w:bCs/>
        </w:rPr>
      </w:pPr>
      <w:r>
        <w:rPr>
          <w:bCs/>
        </w:rPr>
        <w:t>3 Describe the continuum of risk for tobacco products.</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847CEB" w:rsidP="00847CEB">
      <w:pPr>
        <w:contextualSpacing/>
        <w:rPr>
          <w:bCs/>
        </w:rPr>
      </w:pPr>
      <w:r>
        <w:rPr>
          <w:bCs/>
        </w:rPr>
        <w:fldChar w:fldCharType="begin"/>
      </w:r>
      <w:r>
        <w:rPr>
          <w:bCs/>
        </w:rPr>
        <w:instrText xml:space="preserve"> IF </w:instrText>
      </w:r>
      <w:r>
        <w:rPr>
          <w:bCs/>
        </w:rPr>
        <w:instrText>1.00</w:instrText>
      </w:r>
      <w:r>
        <w:rPr>
          <w:bCs/>
        </w:rPr>
        <w:instrText xml:space="preserve"> &gt; 0 "</w:instrText>
      </w:r>
      <w:r w:rsidRPr="00A17109">
        <w:rPr>
          <w:b/>
        </w:rPr>
        <w:instrText>Americans with Disabilities Act</w:instrText>
      </w:r>
      <w:r>
        <w:rPr>
          <w:bCs/>
        </w:rPr>
        <w:instrText xml:space="preserve">  </w:instrText>
      </w:r>
    </w:p>
    <w:p w:rsidR="00847CEB" w:rsidP="00847CEB">
      <w:pPr>
        <w:contextualSpacing/>
        <w:rPr>
          <w:bCs/>
        </w:rPr>
      </w:pPr>
      <w:r>
        <w:rPr>
          <w:bCs/>
        </w:rPr>
        <w:instrText xml:space="preserve">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w:instrText>
      </w:r>
      <w:r w:rsidR="000F5DDD">
        <w:rPr>
          <w:bCs/>
        </w:rPr>
        <w:instrText xml:space="preserve">at cme@vumc.org </w:instrText>
      </w:r>
      <w:r>
        <w:rPr>
          <w:bCs/>
        </w:rPr>
        <w:instrText xml:space="preserve">to request assistance. </w:instrText>
      </w:r>
    </w:p>
    <w:p w:rsidR="00847CEB" w:rsidP="00847CEB">
      <w:pPr>
        <w:contextualSpacing/>
        <w:rPr>
          <w:bCs/>
        </w:rPr>
      </w:pPr>
    </w:p>
    <w:p w:rsidR="00F46F37" w:rsidP="00481AB5">
      <w:pPr>
        <w:contextualSpacing/>
        <w:rPr>
          <w:rFonts w:asciiTheme="minorHAnsi" w:hAnsiTheme="minorHAnsi" w:cstheme="minorHAnsi"/>
          <w:b/>
        </w:rPr>
      </w:pPr>
      <w:r>
        <w:rPr>
          <w:bCs/>
        </w:rPr>
        <w:instrText xml:space="preserve">" "" </w:instrText>
      </w:r>
      <w:r>
        <w:rPr>
          <w:bCs/>
        </w:rPr>
        <w:fldChar w:fldCharType="separate"/>
      </w:r>
      <w:r w:rsidRPr="00A17109" w:rsidR="00847CEB">
        <w:rPr>
          <w:b/>
        </w:rPr>
        <w:t>Americans with Disabilities Act</w:t>
      </w:r>
      <w:r w:rsidR="00847CEB">
        <w:rPr>
          <w:bCs/>
        </w:rPr>
        <w:t xml:space="preserve">  </w:t>
      </w:r>
    </w:p>
    <w:p w:rsidR="00847CEB" w:rsidP="00847CEB">
      <w:pPr>
        <w:contextualSpacing/>
        <w:rPr>
          <w:bCs/>
        </w:rPr>
      </w:pPr>
      <w:r>
        <w:rPr>
          <w:bCs/>
        </w:rPr>
        <w:t xml:space="preserve">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w:t>
      </w:r>
      <w:r w:rsidR="000F5DDD">
        <w:rPr>
          <w:bCs/>
        </w:rPr>
        <w:t xml:space="preserve">at cme@vumc.org </w:t>
      </w:r>
      <w:r>
        <w:rPr>
          <w:bCs/>
        </w:rPr>
        <w:t xml:space="preserve">to request assistance. </w:t>
      </w:r>
    </w:p>
    <w:p w:rsidR="00847CEB" w:rsidP="00847CEB">
      <w:pPr>
        <w:contextualSpacing/>
        <w:rPr>
          <w:bCs/>
        </w:rPr>
      </w:pPr>
    </w:p>
    <w:p w:rsidP="00481AB5">
      <w:pPr>
        <w:contextualSpacing/>
        <w:rPr>
          <w:bCs/>
        </w:rPr>
      </w:pPr>
      <w:r>
        <w:rPr>
          <w:bCs/>
        </w:rPr>
        <w:fldChar w:fldCharType="end"/>
      </w:r>
      <w:r w:rsidR="00F46F37">
        <w:rPr>
          <w:rFonts w:asciiTheme="minorHAnsi" w:hAnsiTheme="minorHAnsi" w:cstheme="minorHAnsi"/>
          <w:b/>
        </w:rPr>
        <w:t>Commercial Support</w:t>
      </w:r>
    </w:p>
    <w:p w:rsidR="002B326D" w:rsidRPr="000F5DDD" w:rsidP="00481AB5">
      <w:pPr>
        <w:contextualSpacing/>
        <w:rPr>
          <w:bCs/>
        </w:rPr>
      </w:pPr>
      <w:r>
        <w:rPr>
          <w:rtl w:val="0"/>
        </w:rPr>
        <w:t>This educational activity received no commercial support. </w:t>
      </w:r>
    </w:p>
    <w:p w:rsidR="00F46F37" w:rsidP="00481AB5">
      <w:pPr>
        <w:contextualSpacing/>
        <w:rPr>
          <w:rFonts w:asciiTheme="minorHAnsi" w:hAnsiTheme="minorHAnsi" w:cstheme="minorHAnsi"/>
        </w:rPr>
      </w:pPr>
    </w:p>
    <w:p w:rsidR="00F46F37" w:rsidP="00481AB5">
      <w:pPr>
        <w:contextualSpacing/>
        <w:rPr>
          <w:rFonts w:asciiTheme="minorHAnsi" w:hAnsiTheme="minorHAnsi" w:cstheme="minorHAnsi"/>
          <w:b/>
          <w:bCs/>
        </w:rPr>
      </w:pPr>
      <w:r>
        <w:rPr>
          <w:rFonts w:asciiTheme="minorHAnsi" w:hAnsiTheme="minorHAnsi" w:cstheme="minorHAnsi"/>
          <w:b/>
          <w:bCs/>
        </w:rPr>
        <w:t>Financial Disclosures</w:t>
      </w:r>
    </w:p>
    <w:p w:rsidR="00C24750" w:rsidRPr="00CE0985" w:rsidP="00481AB5">
      <w:pPr>
        <w:contextualSpacing/>
        <w:rPr>
          <w:rFonts w:asciiTheme="minorHAnsi" w:hAnsiTheme="minorHAnsi" w:cstheme="minorHAnsi"/>
        </w:rPr>
      </w:pPr>
      <w:r>
        <w:rPr>
          <w:rFonts w:asciiTheme="minorHAnsi" w:hAnsiTheme="minorHAnsi" w:cstheme="minorHAnsi"/>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P="00481AB5">
      <w:pPr>
        <w:contextualSpacing/>
        <w:rPr>
          <w:rFonts w:asciiTheme="minorHAnsi" w:hAnsiTheme="minorHAnsi" w:cstheme="minorHAnsi"/>
        </w:rPr>
      </w:pPr>
    </w:p>
    <w:p w:rsidP="00481AB5">
      <w:pPr>
        <w:contextualSpacing/>
        <w:rPr>
          <w:rFonts w:asciiTheme="minorHAnsi" w:hAnsiTheme="minorHAnsi" w:cstheme="minorHAnsi"/>
        </w:rPr>
      </w:pPr>
      <w:r>
        <w:rPr>
          <w:rFonts w:asciiTheme="minorHAnsi" w:hAnsiTheme="minorHAnsi" w:cstheme="minorHAnsi"/>
        </w:rPr>
        <w:t>All relevant conflicts of interest have been mitigated before this activity started.</w:t>
      </w:r>
    </w:p>
    <w:p w:rsidP="00481AB5">
      <w:pPr>
        <w:contextualSpacing/>
        <w:rPr>
          <w:rFonts w:asciiTheme="minorHAnsi" w:hAnsiTheme="minorHAnsi" w:cstheme="minorHAnsi"/>
        </w:rPr>
      </w:pPr>
    </w:p>
    <w:p w:rsidP="00481AB5">
      <w:pPr>
        <w:contextualSpacing/>
        <w:rPr>
          <w:rFonts w:asciiTheme="minorHAnsi" w:hAnsiTheme="minorHAnsi" w:cstheme="minorHAnsi"/>
        </w:rPr>
      </w:pPr>
      <w:r w:rsidR="00CE0985">
        <w:rPr>
          <w:rFonts w:asciiTheme="minorHAnsi" w:hAnsiTheme="minorHAnsi" w:cstheme="minorHAnsi"/>
        </w:rPr>
        <w:t xml:space="preserve"> </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Stephan H Heckers,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Jennifer Laws-Woolf, BMus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Justin C Strickland,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Fee-Spaulding Clinical|Consulting Fee-Institutes for Behavior Resources (Relationship has ended)|Membership on Advisory Committees or Review Panels, Board Membership, etc.-Realm of Caring Foundation - 07/18/2026</w:t>
            </w:r>
          </w:p>
        </w:tc>
      </w:tr>
    </w:tbl>
    <w:p>
      <w:pPr>
        <w:bidi w:val="0"/>
        <w:spacing w:after="280" w:afterAutospacing="1"/>
        <w:rPr>
          <w:rtl w:val="0"/>
        </w:rPr>
      </w:pPr>
    </w:p>
    <w:p w:rsidR="00A82C4C" w:rsidRPr="00145184" w:rsidP="00481AB5">
      <w:pPr>
        <w:contextualSpacing/>
      </w:pPr>
      <w:r>
        <w:rPr>
          <w:noProof/>
        </w:rPr>
        <w:pict>
          <v:rect id="_x0000_i1025" style="height:0.05pt;mso-height-percent:0;mso-width-percent:0;width:468pt" o:hralign="center" o:hrstd="t" o:hr="t" fillcolor="#a0a0a0" stroked="f"/>
        </w:pict>
      </w:r>
    </w:p>
    <w:p w:rsidR="00A82C4C" w:rsidRPr="00145184" w:rsidP="00481AB5">
      <w:pPr>
        <w:contextualSpacing/>
        <w:rPr>
          <w:color w:val="000000" w:themeColor="text1"/>
          <w:sz w:val="52"/>
          <w:szCs w:val="52"/>
        </w:rPr>
      </w:pPr>
      <w:r w:rsidRPr="00145184">
        <w:rPr>
          <w:color w:val="000000" w:themeColor="text1"/>
          <w:sz w:val="52"/>
          <w:szCs w:val="52"/>
        </w:rPr>
        <w:t>103402</w:t>
      </w:r>
    </w:p>
    <w:p w:rsidR="00A82C4C" w:rsidRPr="00145184" w:rsidP="00481AB5">
      <w:pPr>
        <w:contextualSpacing/>
        <w:rPr>
          <w:color w:val="000000" w:themeColor="text1"/>
        </w:rPr>
      </w:pPr>
      <w:r w:rsidRPr="00145184">
        <w:rPr>
          <w:color w:val="000000" w:themeColor="text1"/>
        </w:rPr>
        <w:t xml:space="preserve">Credit code must be texted to </w:t>
      </w:r>
      <w:r w:rsidR="005F3B9E">
        <w:rPr>
          <w:rFonts w:eastAsia="Times New Roman"/>
          <w:color w:val="000000" w:themeColor="text1"/>
          <w:sz w:val="23"/>
          <w:szCs w:val="23"/>
        </w:rPr>
        <w:t>855-776-6263</w:t>
      </w:r>
      <w:r w:rsidRPr="00145184">
        <w:rPr>
          <w:rFonts w:eastAsia="Times New Roman"/>
          <w:color w:val="000000" w:themeColor="text1"/>
          <w:sz w:val="23"/>
          <w:szCs w:val="23"/>
        </w:rPr>
        <w:t xml:space="preserve"> </w:t>
      </w:r>
      <w:r w:rsidRPr="00145184" w:rsidR="004B5CD4">
        <w:rPr>
          <w:color w:val="000000" w:themeColor="text1"/>
        </w:rPr>
        <w:t xml:space="preserve">within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A82C4C" w:rsidRPr="00145184" w:rsidP="00481AB5">
      <w:pPr>
        <w:contextualSpacing/>
        <w:jc w:val="center"/>
        <w:rPr>
          <w:color w:val="000000" w:themeColor="text1"/>
        </w:rPr>
      </w:pPr>
      <w:r w:rsidRPr="00145184">
        <w:rPr>
          <w:color w:val="000000" w:themeColor="text1"/>
        </w:rPr>
        <w:t xml:space="preserve">If you </w:t>
      </w:r>
      <w:r w:rsidR="00B45799">
        <w:rPr>
          <w:color w:val="000000" w:themeColor="text1"/>
        </w:rPr>
        <w:t>need assistance claiming credit, please contact</w:t>
      </w:r>
    </w:p>
    <w:p w:rsidR="00A82C4C" w:rsidRPr="00145184" w:rsidP="00481AB5">
      <w:pPr>
        <w:contextualSpacing/>
        <w:jc w:val="center"/>
      </w:pPr>
      <w:r>
        <w:rPr>
          <w:noProof/>
        </w:rPr>
        <w:t>Jennifer Laws-Woolf, Haley Potts</w:t>
      </w:r>
    </w:p>
    <w:p w:rsidR="00A82C4C" w:rsidP="00481AB5">
      <w:pPr>
        <w:contextualSpacing/>
        <w:jc w:val="center"/>
        <w:rPr>
          <w:noProof/>
        </w:rPr>
      </w:pPr>
      <w:r>
        <w:rPr>
          <w:noProof/>
        </w:rPr>
        <w:t>jennye.woolf@vumc.org, haley.potts@vumc.org</w:t>
      </w:r>
    </w:p>
    <w:p w:rsidR="00442B21" w:rsidRPr="006959B0" w:rsidP="006959B0">
      <w:pPr>
        <w:contextualSpacing/>
        <w:jc w:val="center"/>
      </w:pPr>
      <w:r>
        <w:rPr>
          <w:noProof/>
        </w:rPr>
        <w:t xml:space="preserve">or visit </w:t>
      </w:r>
      <w:r>
        <w:fldChar w:fldCharType="begin"/>
      </w:r>
      <w:r>
        <w:instrText xml:space="preserve"> HYPERLINK "https://vumc.cloud-cme.com/about/help" </w:instrText>
      </w:r>
      <w:r>
        <w:fldChar w:fldCharType="separate"/>
      </w:r>
      <w:r w:rsidRPr="009B4F1A">
        <w:rPr>
          <w:rStyle w:val="Hyperlink"/>
          <w:rFonts w:eastAsia="Times New Roman"/>
          <w:bCs/>
        </w:rPr>
        <w:t>https://vumc.cloud-cme.com/about/help</w:t>
      </w:r>
      <w:r>
        <w:fldChar w:fldCharType="end"/>
      </w: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hitney Semibold">
    <w:altName w:val="Whitney Sem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Mitchell, Sarah E</cp:lastModifiedBy>
  <cp:revision>2</cp:revision>
  <dcterms:created xsi:type="dcterms:W3CDTF">2026-06-16T18:30:00Z</dcterms:created>
  <dcterms:modified xsi:type="dcterms:W3CDTF">2026-06-16T18:30:00Z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