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95413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Developmental Medicine Conference 2025-26A –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Developmental Medicine Conference 2025-26A – MM&amp;I APA - 4/2/2025 Custody Battles and Disagreement around Diagnosis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Developmental Medicine Conference 2025-26A –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Developmental Medicine Conference 2025-26A – MM&amp;I APA - 4/2/2025 Custody Battles and Disagreement around Diagnosis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April 2, 2025</w:t>
      </w:r>
      <w:r w:rsidR="00BC157D">
        <w:t xml:space="preserve"> </w:t>
      </w:r>
      <w:r w:rsidR="00A41F81">
        <w:t xml:space="preserve"> - </w:t>
      </w:r>
      <w:r w:rsidR="00A41F81">
        <w:t>01:00 April, 2,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Discuss recent literature related to identification and management of developmental disabilities in children and adolescents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1 1.</w:instrText>
        <w:tab/>
        <w:instrText>Identify challenges, procedural safeguards, and ways to address disagreement around diagnoses and care recommendations, with special consideration when this involves a custody dispute between parents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2 2.</w:instrText>
        <w:tab/>
        <w:instrText>Describe special considerations related to diagnostic re-evaluation, including discussion of routine follow-up care, use of telehealth, and when in-depth re-evaluation may be warranted.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a strategy related to reducing care disparities for families from racial/ethnic minority groups to incorporate into practice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Explain the concept of neurodiversity to patients/families and determine when it is clinically indicated to do so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3 3.</w:instrText>
        <w:tab/>
        <w:instrText xml:space="preserve">List specific steps providers should take upon receiving a subpoena.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4 3.</w:instrText>
        <w:tab/>
        <w:instrText xml:space="preserve">List specific steps providers should take upon receiving a subpoena.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List clinical indicators for use of telehealth with patients/families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Identify peer-reviewed, evidence based literature and resources on topics related to neurodevelopmental disabilities that can be disseminated among colleagues and patients/families appropriately.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recent literature related to identification and management of developmental disabilities in children and adolescents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1 1.</w:instrText>
        <w:tab/>
        <w:instrText>Identify challenges, procedural safeguards, and ways to address disagreement around diagnoses and care recommendations, with special consideration when this involves a custody dispute between parents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2 2.</w:instrText>
        <w:tab/>
        <w:instrText>Describe special considerations related to diagnostic re-evaluation, including discussion of routine follow-up care, use of telehealth, and when in-depth re-evaluation may be warranted.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a strategy related to reducing care disparities for families from racial/ethnic minority groups to incorporate into practice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Explain the concept of neurodiversity to patients/families and determine when it is clinically indicated to do so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3 3.</w:instrText>
        <w:tab/>
        <w:instrText xml:space="preserve">List specific steps providers should take upon receiving a subpoena.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4 3.</w:instrText>
        <w:tab/>
        <w:instrText xml:space="preserve">List specific steps providers should take upon receiving a subpoena.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List clinical indicators for use of telehealth with patients/families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Identify peer-reviewed, evidence based literature and resources on topics related to neurodevelopmental disabilities that can be disseminated among colleagues and patients/families appropriately.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recent literature related to identification and management of developmental disabilities in children and adolescents</w:t>
      </w:r>
    </w:p>
    <w:p w:rsidR="00F46F37" w:rsidP="00481AB5">
      <w:pPr>
        <w:contextualSpacing/>
        <w:rPr>
          <w:bCs/>
        </w:rPr>
      </w:pPr>
      <w:r>
        <w:rPr>
          <w:bCs/>
        </w:rPr>
        <w:t>1 1.</w:t>
        <w:tab/>
        <w:t>Identify challenges, procedural safeguards, and ways to address disagreement around diagnoses and care recommendations, with special consideration when this involves a custody dispute between parents</w:t>
      </w:r>
    </w:p>
    <w:p w:rsidR="00F46F37" w:rsidP="00481AB5">
      <w:pPr>
        <w:contextualSpacing/>
        <w:rPr>
          <w:bCs/>
        </w:rPr>
      </w:pPr>
      <w:r>
        <w:rPr>
          <w:bCs/>
        </w:rPr>
        <w:t>2 2.</w:t>
        <w:tab/>
        <w:t>Describe special considerations related to diagnostic re-evaluation, including discussion of routine follow-up care, use of telehealth, and when in-depth re-evaluation may be warranted.</w:t>
      </w:r>
    </w:p>
    <w:p w:rsidR="00F46F37" w:rsidP="00481AB5">
      <w:pPr>
        <w:contextualSpacing/>
        <w:rPr>
          <w:bCs/>
        </w:rPr>
      </w:pPr>
      <w:r>
        <w:rPr>
          <w:bCs/>
        </w:rPr>
        <w:t>2 Identify a strategy related to reducing care disparities for families from racial/ethnic minority groups to incorporate into practice</w:t>
      </w:r>
    </w:p>
    <w:p w:rsidR="00F46F37" w:rsidP="00481AB5">
      <w:pPr>
        <w:contextualSpacing/>
        <w:rPr>
          <w:bCs/>
        </w:rPr>
      </w:pPr>
      <w:r>
        <w:rPr>
          <w:bCs/>
        </w:rPr>
        <w:t>3 Explain the concept of neurodiversity to patients/families and determine when it is clinically indicated to do so</w:t>
      </w:r>
    </w:p>
    <w:p w:rsidR="00F46F37" w:rsidP="00481AB5">
      <w:pPr>
        <w:contextualSpacing/>
        <w:rPr>
          <w:bCs/>
        </w:rPr>
      </w:pPr>
      <w:r>
        <w:rPr>
          <w:bCs/>
        </w:rPr>
        <w:t>3 3.</w:t>
        <w:tab/>
        <w:t xml:space="preserve">List specific steps providers should take upon receiving a subpoena. </w:t>
      </w:r>
    </w:p>
    <w:p w:rsidR="00F46F37" w:rsidP="00481AB5">
      <w:pPr>
        <w:contextualSpacing/>
        <w:rPr>
          <w:bCs/>
        </w:rPr>
      </w:pPr>
      <w:r>
        <w:rPr>
          <w:bCs/>
        </w:rPr>
        <w:t>4 3.</w:t>
        <w:tab/>
        <w:t xml:space="preserve">List specific steps providers should take upon receiving a subpoena. </w:t>
      </w:r>
    </w:p>
    <w:p w:rsidR="00F46F37" w:rsidP="00481AB5">
      <w:pPr>
        <w:contextualSpacing/>
        <w:rPr>
          <w:bCs/>
        </w:rPr>
      </w:pPr>
      <w:r>
        <w:rPr>
          <w:bCs/>
        </w:rPr>
        <w:t>4 List clinical indicators for use of telehealth with patients/families</w:t>
      </w:r>
    </w:p>
    <w:p w:rsidR="00F46F37" w:rsidP="00481AB5">
      <w:pPr>
        <w:contextualSpacing/>
        <w:rPr>
          <w:bCs/>
        </w:rPr>
      </w:pPr>
      <w:r>
        <w:rPr>
          <w:bCs/>
        </w:rPr>
        <w:t>5 Identify peer-reviewed, evidence based literature and resources on topics related to neurodevelopmental disabilities that can be disseminated among colleagues and patients/families appropriately.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Rachel H Goode,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Sarika Peters,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research)-Ionis Pharmaceuticals|Consulting Fee-Ionis Pharmaceuticals (Relationship has ended)|Grant or research support-ActiGraph (Relationship has ended) - 03/24/2025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Melissa Kijuanna Crowell,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Laura Corona,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Wayneisha Mimms,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- 02/03/2025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103524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Melissa Crowell, Wayneisha Mimms, Haley Potts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melissa.k.crowell@vumc.org, neisha.mimms@vumc.org, haley.potts@vumc.org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