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 w:rsidRPr="00A74FC1"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Encompass Health Medical Directors' Meeting 2025S CME</w:instrText>
      </w:r>
      <w:r w:rsidRPr="00A74FC1" w:rsidR="00FD3D76">
        <w:rPr>
          <w:b/>
          <w:sz w:val="40"/>
          <w:szCs w:val="40"/>
        </w:rPr>
        <w:instrText>"</w:instrText>
      </w:r>
      <w:r w:rsidRPr="00A74FC1" w:rsidR="00FD3D76"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Encompass Health Medical Directors' Meeting 2025S CME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08:00</w:t>
      </w:r>
      <w:r w:rsidRPr="00145184" w:rsidR="00A17BBD">
        <w:t xml:space="preserve"> April 4, 2025</w:t>
      </w:r>
      <w:r w:rsidR="00BC157D">
        <w:t xml:space="preserve"> </w:t>
      </w:r>
      <w:r w:rsidR="00A41F81">
        <w:t xml:space="preserve"> - </w:t>
      </w:r>
      <w:r w:rsidR="00A41F81">
        <w:t>12:30 April, 6, 2025</w:t>
      </w:r>
      <w:r>
        <w:fldChar w:fldCharType="begin"/>
      </w:r>
      <w:r>
        <w:instrText xml:space="preserve"> IF </w:instrText>
      </w:r>
      <w:r w:rsidR="00B82851">
        <w:instrText>"</w:instrText>
      </w:r>
      <w:r w:rsidR="00B82851">
        <w:instrText>Mayflower Hotel</w:instrText>
      </w:r>
      <w:r w:rsidR="00B82851">
        <w:instrText>"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Mayflower Hotel</w:instrText>
      </w:r>
      <w:r>
        <w:instrText xml:space="preserve">" "" </w:instrText>
      </w:r>
      <w:r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Mayflower Hotel</w:t>
      </w:r>
      <w:r>
        <w:fldChar w:fldCharType="end"/>
      </w:r>
    </w:p>
    <w:p w:rsidR="00A82C4C" w:rsidP="00481AB5">
      <w:pPr>
        <w:contextualSpacing/>
      </w:pPr>
    </w:p>
    <w:p w:rsidR="000F2091" w:rsidP="000F2091">
      <w:pPr>
        <w:contextualSpacing/>
        <w:rPr>
          <w:b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10.50</w:instrText>
      </w:r>
      <w:r>
        <w:rPr>
          <w:bCs/>
        </w:rPr>
        <w:instrText xml:space="preserve"> &gt; 0 "</w:instrText>
      </w:r>
      <w:r>
        <w:rPr>
          <w:b/>
        </w:rPr>
        <w:instrText>Accreditation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0F2091">
        <w:rPr>
          <w:b/>
        </w:rPr>
        <w:t>Accreditation</w: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F2091" w:rsidP="000F2091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 w:rsidR="00072CAB">
        <w:rPr>
          <w:bCs/>
        </w:rPr>
        <w:fldChar w:fldCharType="begin"/>
      </w:r>
      <w:r w:rsidR="00072CAB">
        <w:rPr>
          <w:bCs/>
        </w:rPr>
        <w:instrText xml:space="preserve"> IF </w:instrText>
      </w:r>
      <w:r w:rsidR="00072CAB">
        <w:rPr>
          <w:bCs/>
        </w:rPr>
        <w:instrText>0.00</w:instrText>
      </w:r>
      <w:r w:rsidR="00072CAB">
        <w:rPr>
          <w:bCs/>
        </w:rPr>
        <w:instrText xml:space="preserve"> &gt; 0 "</w:instrText>
      </w:r>
      <w:r>
        <w:rPr>
          <w:b/>
        </w:rPr>
        <w:instrText>Approval</w:instrText>
      </w:r>
    </w:p>
    <w:p w:rsidR="000F2091" w:rsidRPr="00D004FB" w:rsidP="000F2091">
      <w:pPr>
        <w:contextualSpacing/>
        <w:rPr>
          <w:bCs/>
          <w:sz w:val="10"/>
          <w:szCs w:val="10"/>
        </w:rPr>
      </w:pPr>
    </w:p>
    <w:p w:rsidR="00072CAB" w:rsidP="00481AB5">
      <w:pPr>
        <w:contextualSpacing/>
        <w:rPr>
          <w:bCs/>
        </w:rPr>
      </w:pP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B82851" w:rsidP="00B82851">
      <w:pPr>
        <w:pStyle w:val="NormalWeb"/>
      </w:pPr>
      <w:r>
        <w:rPr>
          <w:noProof/>
        </w:rPr>
        <w:drawing>
          <wp:inline distT="0" distB="0" distL="0" distR="0">
            <wp:extent cx="923925" cy="885825"/>
            <wp:effectExtent l="0" t="0" r="0" b="0"/>
            <wp:docPr id="1" name="Picture 1" descr="C:\Users\krentzs\AppData\Local\Microsoft\Windows\INetCache\Content.Outlook\Q66A7D80\AP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entzs\AppData\Local\Microsoft\Windows\INetCache\Content.Outlook\Q66A7D80\APA logo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CAB" w:rsidP="00481AB5">
      <w:pPr>
        <w:contextualSpacing/>
        <w:rPr>
          <w:bCs/>
        </w:rPr>
      </w:pPr>
      <w:bookmarkStart w:id="0" w:name="_GoBack"/>
      <w:bookmarkEnd w:id="0"/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Education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10.50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</w:instrText>
      </w:r>
      <w:r w:rsidRPr="00C62DBF">
        <w:rPr>
          <w:rFonts w:cs="Calibri"/>
          <w:sz w:val="21"/>
          <w:szCs w:val="21"/>
        </w:rPr>
        <w:instrText xml:space="preserve">of </w:instrText>
      </w:r>
      <w:r>
        <w:rPr>
          <w:rFonts w:cs="Calibri"/>
          <w:sz w:val="21"/>
          <w:szCs w:val="21"/>
        </w:rPr>
        <w:instrText>10.50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</w:t>
      </w:r>
      <w:r w:rsidRPr="00C62DBF">
        <w:rPr>
          <w:rFonts w:cs="Calibri"/>
          <w:sz w:val="21"/>
          <w:szCs w:val="21"/>
        </w:rPr>
        <w:t xml:space="preserve">of </w:t>
      </w:r>
      <w:r>
        <w:rPr>
          <w:rFonts w:cs="Calibri"/>
          <w:sz w:val="21"/>
          <w:szCs w:val="21"/>
        </w:rPr>
        <w:t>10.50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Properly navigate and manage your leadership role as a medical director in an IRF hospital in challenging times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2 Implement updates in medical management of the rehabilitation patients in your hospital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3 Address and comply with governmental requirements for IRF documentation and utilization of EHR to adequately address those requirements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4 Analyze the implications of changes in rehabilitation for your hospital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Properly navigate and manage your leadership role as a medical director in an IRF hospital in challenging times</w:instrText>
      </w:r>
    </w:p>
    <w:p w:rsidP="00481AB5">
      <w:pPr>
        <w:contextualSpacing/>
        <w:rPr>
          <w:bCs/>
        </w:rPr>
      </w:pPr>
      <w:r>
        <w:rPr>
          <w:bCs/>
        </w:rPr>
        <w:instrText>2 Implement updates in medical management of the rehabilitation patients in your hospital</w:instrText>
      </w:r>
    </w:p>
    <w:p w:rsidP="00481AB5">
      <w:pPr>
        <w:contextualSpacing/>
        <w:rPr>
          <w:bCs/>
        </w:rPr>
      </w:pPr>
      <w:r>
        <w:rPr>
          <w:bCs/>
        </w:rPr>
        <w:instrText>3 Address and comply with governmental requirements for IRF documentation and utilization of EHR to adequately address those requirements</w:instrText>
      </w:r>
    </w:p>
    <w:p w:rsidP="00481AB5">
      <w:pPr>
        <w:contextualSpacing/>
        <w:rPr>
          <w:bCs/>
        </w:rPr>
      </w:pPr>
      <w:r>
        <w:rPr>
          <w:bCs/>
        </w:rPr>
        <w:instrText>4 Analyze the implications of changes in rehabilitation for your hospital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Properly navigate and manage your leadership role as a medical director in an IRF hospital in challenging times</w:t>
      </w:r>
    </w:p>
    <w:p w:rsidP="00481AB5">
      <w:pPr>
        <w:contextualSpacing/>
        <w:rPr>
          <w:bCs/>
        </w:rPr>
      </w:pPr>
      <w:r>
        <w:rPr>
          <w:bCs/>
        </w:rPr>
        <w:t>2 Implement updates in medical management of the rehabilitation patients in your hospital</w:t>
      </w:r>
    </w:p>
    <w:p w:rsidP="00481AB5">
      <w:pPr>
        <w:contextualSpacing/>
        <w:rPr>
          <w:bCs/>
        </w:rPr>
      </w:pPr>
      <w:r>
        <w:rPr>
          <w:bCs/>
        </w:rPr>
        <w:t>3 Address and comply with governmental requirements for IRF documentation and utilization of EHR to adequately address those requirements</w:t>
      </w:r>
    </w:p>
    <w:p w:rsidP="00481AB5">
      <w:pPr>
        <w:contextualSpacing/>
        <w:rPr>
          <w:bCs/>
        </w:rPr>
      </w:pPr>
      <w:r>
        <w:rPr>
          <w:bCs/>
        </w:rPr>
        <w:t>4 Analyze the implications of changes in rehabilitation for your hospital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</w:p>
    <w:p w:rsidR="00C24750" w:rsidRPr="00D004FB" w:rsidP="00481AB5">
      <w:pPr>
        <w:contextualSpacing/>
        <w:rPr>
          <w:bCs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 xml:space="preserve">"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Jeffery S Johns,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- 02/09/2025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Elissa J Charbonneau, DO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Faculty,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- 11/02/2024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Tedra Cleveland, MHA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- 11/05/2024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Melanie Frazey, BS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- 01/19/2025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Cheryl Miller,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- 02/07/2025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Mark Tarr, MBA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Joseph Stillo,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Faculty, 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Eliam Fuentes Tirado,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- 02/06/2025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Rusty Yeager, MBA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- 01/15/2025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Carol Sonatore, DO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Scott D Tannenbaum,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- 02/25/2025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Julie Duck, MBA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- 02/26/2025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Patrick Darby, JD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- 03/04/2025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Angelica Soberon-Cassar,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Doug Coltharp, MBA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Steve Han,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Andrew Baird, JD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- 02/06/2025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matthew fanous,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- 01/08/2025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Emily Robbins, DO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- 05/14/2024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Neil Jasey,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Speakers Bureau-Merz - 02/02/2025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Charlene K. MacDonald,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- 02/06/2025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Robert B Kennedy, MBA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Beth Sarfaty, MBA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- 01/17/2025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104017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0F2091">
        <w:rPr>
          <w:color w:val="000000" w:themeColor="text1"/>
        </w:rPr>
        <w:t>24 hours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CloudCME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>address as entered in your CloudCME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Anastasia Turner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anastasia.turner@encompasshealth.com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8285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Mitchell, Sarah E</cp:lastModifiedBy>
  <cp:revision>5</cp:revision>
  <dcterms:created xsi:type="dcterms:W3CDTF">2022-04-22T18:23:00Z</dcterms:created>
  <dcterms:modified xsi:type="dcterms:W3CDTF">2025-03-31T17:39:00Z</dcterms:modified>
</cp:coreProperties>
</file>