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Annual Vanderbilt Stroke and Neuroscience Symposium 2025S CME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Annual Vanderbilt Stroke and Neuroscience Symposium 2025S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07:45</w:t>
      </w:r>
      <w:r w:rsidRPr="00145184" w:rsidR="00A17BBD">
        <w:t xml:space="preserve"> April 17, 2025</w:t>
      </w:r>
      <w:r w:rsidR="00BC157D">
        <w:t xml:space="preserve"> </w:t>
      </w:r>
      <w:r w:rsidR="00A41F81">
        <w:t xml:space="preserve"> - </w:t>
      </w:r>
      <w:r w:rsidR="00A41F81">
        <w:t>05:00 April, 17, 2025</w:t>
      </w:r>
      <w:r>
        <w:fldChar w:fldCharType="begin"/>
      </w:r>
      <w:r>
        <w:instrText xml:space="preserve"> IF </w:instrText>
      </w:r>
      <w:r w:rsidR="00B82851"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7.75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7.75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7.75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7.75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State the key priorities for primary stroke prevention based on new guidelines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Identify the key new clinical trial results and specific changes to clinical practice based on the results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Understand stroke risk related to pregnancy and appropriate stroke prevention and stroke treatment strategies in this specialized setting.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 xml:space="preserve">4 Improve management and prevention strategies for stroke care in special settings (in the ICU, in the setting of migraine, etc). 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State the key priorities for primary stroke prevention based on new guidelines</w:instrText>
      </w:r>
    </w:p>
    <w:p w:rsidP="00481AB5">
      <w:pPr>
        <w:contextualSpacing/>
        <w:rPr>
          <w:bCs/>
        </w:rPr>
      </w:pPr>
      <w:r>
        <w:rPr>
          <w:bCs/>
        </w:rPr>
        <w:instrText>2 Identify the key new clinical trial results and specific changes to clinical practice based on the results</w:instrText>
      </w:r>
    </w:p>
    <w:p w:rsidP="00481AB5">
      <w:pPr>
        <w:contextualSpacing/>
        <w:rPr>
          <w:bCs/>
        </w:rPr>
      </w:pPr>
      <w:r>
        <w:rPr>
          <w:bCs/>
        </w:rPr>
        <w:instrText>3 Understand stroke risk related to pregnancy and appropriate stroke prevention and stroke treatment strategies in this specialized setting.</w:instrText>
      </w:r>
    </w:p>
    <w:p w:rsidP="00481AB5">
      <w:pPr>
        <w:contextualSpacing/>
        <w:rPr>
          <w:bCs/>
        </w:rPr>
      </w:pPr>
      <w:r>
        <w:rPr>
          <w:bCs/>
        </w:rPr>
        <w:instrText xml:space="preserve">4 Improve management and prevention strategies for stroke care in special settings (in the ICU, in the setting of migraine, etc).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State the key priorities for primary stroke prevention based on new guidelines</w:t>
      </w:r>
    </w:p>
    <w:p w:rsidP="00481AB5">
      <w:pPr>
        <w:contextualSpacing/>
        <w:rPr>
          <w:bCs/>
        </w:rPr>
      </w:pPr>
      <w:r>
        <w:rPr>
          <w:bCs/>
        </w:rPr>
        <w:t>2 Identify the key new clinical trial results and specific changes to clinical practice based on the results</w:t>
      </w:r>
    </w:p>
    <w:p w:rsidP="00481AB5">
      <w:pPr>
        <w:contextualSpacing/>
        <w:rPr>
          <w:bCs/>
        </w:rPr>
      </w:pPr>
      <w:r>
        <w:rPr>
          <w:bCs/>
        </w:rPr>
        <w:t>3 Understand stroke risk related to pregnancy and appropriate stroke prevention and stroke treatment strategies in this specialized setting.</w:t>
      </w:r>
    </w:p>
    <w:p w:rsidP="00481AB5">
      <w:pPr>
        <w:contextualSpacing/>
        <w:rPr>
          <w:bCs/>
        </w:rPr>
      </w:pPr>
      <w:r>
        <w:rPr>
          <w:bCs/>
        </w:rPr>
        <w:t xml:space="preserve">4 Improve management and prevention strategies for stroke care in special settings (in the ICU, in the setting of migraine, etc).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Kenneth J Gaines,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Stocks or stock options, excluding diversified mutual funds-Stroke Link Health|Grant or research support-Genentech - 04/02/2025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Lori C Jordan,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- 12/02/2024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Matthew S Schrag,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Fee-Guidepoint|Consulting Fee-Greycourt &amp; Co (Relationship has ended)|Consulting Fee-Legal Firms (Relationship has ended) - 11/26/2024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Kiersten Espaillat, DNP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Mir A Ali,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Michael A Moore,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Other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Danfeng L Wang,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Jillian M Berkman,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Fee-MedZown - 01/06/2025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Curfman,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Courtnie Dunn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Tiffany Duraney,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CME/CE Associate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- 09/23/2024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Kunal P Raygor,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Ownership-Radical Catheter, Inc. - 08/14/2024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Hannah Rohrs, BSN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Claribel Wee,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Khadija Ali, MBBS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- 10/29/2024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Carolyn A Cronin,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Winston Bell,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Adair, MA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- 03/31/2025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 Miller,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Caleb Han, 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Trisha Patel,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"Samantha" Grant-Micah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- 03/27/2025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105404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Tiffany Duraney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tiffany.a.duraney@vumc.org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