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LifeFlight Critical Care Transport Airway Lab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LifeFlight Critical Care Transport Airway Lab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09:00</w:t>
      </w:r>
      <w:r w:rsidRPr="00145184" w:rsidR="00A17BBD">
        <w:t xml:space="preserve"> December 11, 2024</w:t>
      </w:r>
      <w:r w:rsidR="00BC157D">
        <w:t xml:space="preserve"> </w:t>
      </w:r>
      <w:r w:rsidR="00A41F81">
        <w:t xml:space="preserve"> - </w:t>
      </w:r>
      <w:r w:rsidR="00A41F81">
        <w:t>12:00 December, 11, 2024</w:t>
      </w:r>
      <w:r>
        <w:fldChar w:fldCharType="begin"/>
      </w:r>
      <w:r>
        <w:instrText xml:space="preserve"> IF </w:instrText>
      </w:r>
      <w:r>
        <w:instrText>"</w:instrText>
      </w:r>
      <w:r>
        <w:instrText>Nashville, TN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 xml:space="preserve">Nashville, </w:instrText>
      </w:r>
      <w:r w:rsidR="00442B21">
        <w:instrText>TN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 xml:space="preserve">Nashville, </w:t>
      </w:r>
      <w:r w:rsidR="00442B21">
        <w:t>TN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3.00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3.00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Discuss airway anatomy and progressive laryngoscopy.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2 Describe landmarks, technique, indications, and contraindications of approved surgical skills.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Understand return demonstration of approved surgical skills per scope of practice.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airway anatomy and progressive laryngoscopy.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2 Describe landmarks, technique, indications, and contraindications of approved surgical skills.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Understand return demonstration of approved surgical skills per scope of practice.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airway anatomy and progressive laryngoscopy.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2 Describe landmarks, technique, indications, and contraindications of approved surgical skills. </w:t>
      </w:r>
    </w:p>
    <w:p w:rsidR="00F46F37" w:rsidP="00481AB5">
      <w:pPr>
        <w:contextualSpacing/>
        <w:rPr>
          <w:bCs/>
        </w:rPr>
      </w:pPr>
      <w:r>
        <w:rPr>
          <w:bCs/>
        </w:rPr>
        <w:t>3 Understand return demonstration of approved surgical skills per scope of practice.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Emergency Medicine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Emergency 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Emergency 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Jeremy J Brywczynski,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Kevin High,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Hansen, BSN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Sally Dye,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- 05/22/2024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105458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Maureen Maxa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maureen.maxa@vumc.org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