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ECHO Monthly Call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ECHO Monthly Call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November 6, 2025</w:t>
      </w:r>
      <w:r w:rsidR="00BC157D">
        <w:t xml:space="preserve"> </w:t>
      </w:r>
      <w:r w:rsidR="00A41F81">
        <w:t xml:space="preserve"> - </w:t>
      </w:r>
      <w:r w:rsidR="00A41F81">
        <w:t>12:00 November, 6,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107913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Stroupe, Grace Mayberry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amber.stroupe@tnaap.org, Grace.Mayberry@tnaap.org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