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 w:rsidRPr="00A74FC1"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BeHiP ECHO Monthly Call 2025</w:instrText>
      </w:r>
      <w:r w:rsidRPr="00A74FC1" w:rsidR="00FD3D76">
        <w:rPr>
          <w:b/>
          <w:sz w:val="40"/>
          <w:szCs w:val="40"/>
        </w:rPr>
        <w:instrText>"</w:instrText>
      </w:r>
      <w:r w:rsidRPr="00A74FC1" w:rsidR="00FD3D76"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BeHiP ECHO Monthly Call 2025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11:00</w:t>
      </w:r>
      <w:r w:rsidRPr="00145184" w:rsidR="00A17BBD">
        <w:t xml:space="preserve"> December 10, 2025</w:t>
      </w:r>
      <w:r w:rsidR="00BC157D">
        <w:t xml:space="preserve"> </w:t>
      </w:r>
      <w:r w:rsidR="00A41F81">
        <w:t xml:space="preserve"> - </w:t>
      </w:r>
      <w:r w:rsidR="00A41F81">
        <w:t>12:00 December, 10, 2025</w:t>
      </w:r>
      <w:r>
        <w:fldChar w:fldCharType="begin"/>
      </w:r>
      <w:r>
        <w:instrText xml:space="preserve"> IF </w:instrText>
      </w:r>
      <w:r w:rsidR="00B82851">
        <w:instrText>Other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0F2091" w:rsidP="000F2091">
      <w:pPr>
        <w:contextualSpacing/>
        <w:rPr>
          <w:b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>
        <w:rPr>
          <w:b/>
        </w:rPr>
        <w:instrText>Accreditation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0F2091">
        <w:rPr>
          <w:b/>
        </w:rPr>
        <w:t>Accreditation</w: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F2091" w:rsidP="000F2091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 w:rsidR="00072CAB">
        <w:rPr>
          <w:bCs/>
        </w:rPr>
        <w:fldChar w:fldCharType="begin"/>
      </w:r>
      <w:r w:rsidR="00072CAB">
        <w:rPr>
          <w:bCs/>
        </w:rPr>
        <w:instrText xml:space="preserve"> IF </w:instrText>
      </w:r>
      <w:r w:rsidR="00072CAB">
        <w:rPr>
          <w:bCs/>
        </w:rPr>
        <w:instrText>0.00</w:instrText>
      </w:r>
      <w:r w:rsidR="00072CAB">
        <w:rPr>
          <w:bCs/>
        </w:rPr>
        <w:instrText xml:space="preserve"> &gt; 0 "</w:instrText>
      </w:r>
      <w:r>
        <w:rPr>
          <w:b/>
        </w:rPr>
        <w:instrText>Approval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072CAB" w:rsidP="00481AB5">
      <w:pPr>
        <w:contextualSpacing/>
        <w:rPr>
          <w:bCs/>
        </w:rPr>
      </w:pP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B82851" w:rsidP="00B82851">
      <w:pPr>
        <w:pStyle w:val="NormalWeb"/>
      </w:pPr>
      <w:r>
        <w:rPr>
          <w:noProof/>
        </w:rPr>
        <w:drawing>
          <wp:inline distT="0" distB="0" distL="0" distR="0">
            <wp:extent cx="923925" cy="885825"/>
            <wp:effectExtent l="0" t="0" r="0" b="0"/>
            <wp:docPr id="1" name="Picture 1" descr="C:\Users\krentzs\AppData\Local\Microsoft\Windows\INetCache\Content.Outlook\Q66A7D80\AP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entzs\AppData\Local\Microsoft\Windows\INetCache\Content.Outlook\Q66A7D80\APA log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CAB" w:rsidP="00481AB5">
      <w:pPr>
        <w:contextualSpacing/>
        <w:rPr>
          <w:bCs/>
        </w:rPr>
      </w:pPr>
      <w:bookmarkStart w:id="0" w:name="_GoBack"/>
      <w:bookmarkEnd w:id="0"/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Education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</w:instrText>
      </w:r>
      <w:r w:rsidRPr="00C62DBF">
        <w:rPr>
          <w:rFonts w:cs="Calibri"/>
          <w:sz w:val="21"/>
          <w:szCs w:val="21"/>
        </w:rPr>
        <w:instrText xml:space="preserve">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</w:t>
      </w:r>
      <w:r w:rsidRPr="00C62DBF">
        <w:rPr>
          <w:rFonts w:cs="Calibri"/>
          <w:sz w:val="21"/>
          <w:szCs w:val="21"/>
        </w:rPr>
        <w:t xml:space="preserve">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Recognize the effects of trauma on the developing child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2 Identify children with psychological trauma and physical abuse in the primary care pediatric setting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3 Apply principles of trauma-competent care to the primary care pediatric setting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4 Increase collaboration with the Department of Children’s Services, the Center of Excellence, and other community behavioral health providers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5 Effectively manage psychopharmacology, including understanding clinical guidelines and the eight medications primary care pediatric providers could prescribe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6 Effectively manage psychopharmacology, including selecting medications for patients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7 Effectively manage psychopharmacology, including initiating and tapering dosages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8 Effectively manage psychopharmacology, including monitoring medication usage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Recognize the effects of trauma on the developing child</w:instrText>
      </w:r>
    </w:p>
    <w:p w:rsidP="00481AB5">
      <w:pPr>
        <w:contextualSpacing/>
        <w:rPr>
          <w:bCs/>
        </w:rPr>
      </w:pPr>
      <w:r>
        <w:rPr>
          <w:bCs/>
        </w:rPr>
        <w:instrText>2 Identify children with psychological trauma and physical abuse in the primary care pediatric setting</w:instrText>
      </w:r>
    </w:p>
    <w:p w:rsidP="00481AB5">
      <w:pPr>
        <w:contextualSpacing/>
        <w:rPr>
          <w:bCs/>
        </w:rPr>
      </w:pPr>
      <w:r>
        <w:rPr>
          <w:bCs/>
        </w:rPr>
        <w:instrText>3 Apply principles of trauma-competent care to the primary care pediatric setting</w:instrText>
      </w:r>
    </w:p>
    <w:p w:rsidP="00481AB5">
      <w:pPr>
        <w:contextualSpacing/>
        <w:rPr>
          <w:bCs/>
        </w:rPr>
      </w:pPr>
      <w:r>
        <w:rPr>
          <w:bCs/>
        </w:rPr>
        <w:instrText>4 Increase collaboration with the Department of Children’s Services, the Center of Excellence, and other community behavioral health providers</w:instrText>
      </w:r>
    </w:p>
    <w:p w:rsidP="00481AB5">
      <w:pPr>
        <w:contextualSpacing/>
        <w:rPr>
          <w:bCs/>
        </w:rPr>
      </w:pPr>
      <w:r>
        <w:rPr>
          <w:bCs/>
        </w:rPr>
        <w:instrText>5 Effectively manage psychopharmacology, including understanding clinical guidelines and the eight medications primary care pediatric providers could prescribe</w:instrText>
      </w:r>
    </w:p>
    <w:p w:rsidP="00481AB5">
      <w:pPr>
        <w:contextualSpacing/>
        <w:rPr>
          <w:bCs/>
        </w:rPr>
      </w:pPr>
      <w:r>
        <w:rPr>
          <w:bCs/>
        </w:rPr>
        <w:instrText>6 Effectively manage psychopharmacology, including selecting medications for patients</w:instrText>
      </w:r>
    </w:p>
    <w:p w:rsidP="00481AB5">
      <w:pPr>
        <w:contextualSpacing/>
        <w:rPr>
          <w:bCs/>
        </w:rPr>
      </w:pPr>
      <w:r>
        <w:rPr>
          <w:bCs/>
        </w:rPr>
        <w:instrText>7 Effectively manage psychopharmacology, including initiating and tapering dosages</w:instrText>
      </w:r>
    </w:p>
    <w:p w:rsidP="00481AB5">
      <w:pPr>
        <w:contextualSpacing/>
        <w:rPr>
          <w:bCs/>
        </w:rPr>
      </w:pPr>
      <w:r>
        <w:rPr>
          <w:bCs/>
        </w:rPr>
        <w:instrText>8 Effectively manage psychopharmacology, including monitoring medication usage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Recognize the effects of trauma on the developing child</w:t>
      </w:r>
    </w:p>
    <w:p w:rsidP="00481AB5">
      <w:pPr>
        <w:contextualSpacing/>
        <w:rPr>
          <w:bCs/>
        </w:rPr>
      </w:pPr>
      <w:r>
        <w:rPr>
          <w:bCs/>
        </w:rPr>
        <w:t>2 Identify children with psychological trauma and physical abuse in the primary care pediatric setting</w:t>
      </w:r>
    </w:p>
    <w:p w:rsidP="00481AB5">
      <w:pPr>
        <w:contextualSpacing/>
        <w:rPr>
          <w:bCs/>
        </w:rPr>
      </w:pPr>
      <w:r>
        <w:rPr>
          <w:bCs/>
        </w:rPr>
        <w:t>3 Apply principles of trauma-competent care to the primary care pediatric setting</w:t>
      </w:r>
    </w:p>
    <w:p w:rsidP="00481AB5">
      <w:pPr>
        <w:contextualSpacing/>
        <w:rPr>
          <w:bCs/>
        </w:rPr>
      </w:pPr>
      <w:r>
        <w:rPr>
          <w:bCs/>
        </w:rPr>
        <w:t>4 Increase collaboration with the Department of Children’s Services, the Center of Excellence, and other community behavioral health providers</w:t>
      </w:r>
    </w:p>
    <w:p w:rsidP="00481AB5">
      <w:pPr>
        <w:contextualSpacing/>
        <w:rPr>
          <w:bCs/>
        </w:rPr>
      </w:pPr>
      <w:r>
        <w:rPr>
          <w:bCs/>
        </w:rPr>
        <w:t>5 Effectively manage psychopharmacology, including understanding clinical guidelines and the eight medications primary care pediatric providers could prescribe</w:t>
      </w:r>
    </w:p>
    <w:p w:rsidP="00481AB5">
      <w:pPr>
        <w:contextualSpacing/>
        <w:rPr>
          <w:bCs/>
        </w:rPr>
      </w:pPr>
      <w:r>
        <w:rPr>
          <w:bCs/>
        </w:rPr>
        <w:t>6 Effectively manage psychopharmacology, including selecting medications for patients</w:t>
      </w:r>
    </w:p>
    <w:p w:rsidP="00481AB5">
      <w:pPr>
        <w:contextualSpacing/>
        <w:rPr>
          <w:bCs/>
        </w:rPr>
      </w:pPr>
      <w:r>
        <w:rPr>
          <w:bCs/>
        </w:rPr>
        <w:t>7 Effectively manage psychopharmacology, including initiating and tapering dosages</w:t>
      </w:r>
    </w:p>
    <w:p w:rsidP="00481AB5">
      <w:pPr>
        <w:contextualSpacing/>
        <w:rPr>
          <w:bCs/>
        </w:rPr>
      </w:pPr>
      <w:r>
        <w:rPr>
          <w:bCs/>
        </w:rPr>
        <w:t>8 Effectively manage psychopharmacology, including monitoring medication usage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</w:p>
    <w:p w:rsidR="00C24750" w:rsidRPr="00D004FB" w:rsidP="00481AB5">
      <w:pPr>
        <w:contextualSpacing/>
        <w:rPr>
          <w:bCs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 xml:space="preserve">"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Vanderbilt University Medical Center CME activities follow the Standards for Integrity and Independence in Accredited Continuing Education. Any individual in a position to influence the content of a VUMC CME activity, including planners and faculty, are required to disclose all relevant financial relationships with ineligible organizations (commercial interests).</w: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associated with financial relationships have been mitigated before any individual assumed a role in this CME activity.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Michelle Bowden,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Speakers Bureau-Merck, Sharp and Dohme - 12/13/2024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107914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0F2091">
        <w:rPr>
          <w:color w:val="000000" w:themeColor="text1"/>
        </w:rPr>
        <w:t>24 hours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CloudCME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>address as entered in your CloudCME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Amber Stroupe, Grace Mayberry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amber.stroupe@tnaap.org, Grace.Mayberry@tnaap.org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828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Mitchell, Sarah E</cp:lastModifiedBy>
  <cp:revision>5</cp:revision>
  <dcterms:created xsi:type="dcterms:W3CDTF">2022-04-22T18:23:00Z</dcterms:created>
  <dcterms:modified xsi:type="dcterms:W3CDTF">2025-03-31T17:39:00Z</dcterms:modified>
</cp:coreProperties>
</file>