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Immunization ECHO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Immunization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April 24, 2025</w:t>
      </w:r>
      <w:r w:rsidR="00BC157D">
        <w:t xml:space="preserve"> </w:t>
      </w:r>
      <w:r w:rsidR="00A41F81">
        <w:t xml:space="preserve"> - </w:t>
      </w:r>
      <w:r w:rsidR="00A41F81">
        <w:t>12:30 April, 24,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vaccine hesitancy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concerns about vaccine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experiences on topics related to vaccines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Understand proper coding associated with vaccines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Describe practices to use social media to promote immunizations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vaccine hesitancy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concerns about vaccine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experiences on topics related to vaccines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Understand proper coding associated with vaccines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Describe practices to use social media to promote immunizations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vaccine hesitancy</w:t>
      </w:r>
    </w:p>
    <w:p w:rsidR="00F46F37" w:rsidP="00481AB5">
      <w:pPr>
        <w:contextualSpacing/>
        <w:rPr>
          <w:bCs/>
        </w:rPr>
      </w:pPr>
      <w:r>
        <w:rPr>
          <w:bCs/>
        </w:rPr>
        <w:t>2 Describe concerns about vaccine safety</w:t>
      </w:r>
    </w:p>
    <w:p w:rsidR="00F46F37" w:rsidP="00481AB5">
      <w:pPr>
        <w:contextualSpacing/>
        <w:rPr>
          <w:bCs/>
        </w:rPr>
      </w:pPr>
      <w:r>
        <w:rPr>
          <w:bCs/>
        </w:rPr>
        <w:t>3 Describe experiences on topics related to vaccines</w:t>
      </w:r>
    </w:p>
    <w:p w:rsidR="00F46F37" w:rsidP="00481AB5">
      <w:pPr>
        <w:contextualSpacing/>
        <w:rPr>
          <w:bCs/>
        </w:rPr>
      </w:pPr>
      <w:r>
        <w:rPr>
          <w:bCs/>
        </w:rPr>
        <w:t>4 Understand proper coding associated with vaccines</w:t>
      </w:r>
    </w:p>
    <w:p w:rsidR="00F46F37" w:rsidP="00481AB5">
      <w:pPr>
        <w:contextualSpacing/>
        <w:rPr>
          <w:bCs/>
        </w:rPr>
      </w:pPr>
      <w:r>
        <w:rPr>
          <w:bCs/>
        </w:rPr>
        <w:t>5 Describe practices to use social media to promote immunizations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Catherine Wiggleton,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- 12/18/2024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108253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Samantha Williams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samantha.williams@tnaap.org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