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>"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fldChar w:fldCharType="begin"/>
      </w:r>
      <w:r w:rsidRPr="00A74FC1">
        <w:rPr>
          <w:b/>
          <w:sz w:val="52"/>
          <w:szCs w:val="52"/>
        </w:rPr>
        <w:instrText xml:space="preserve"> MERGEFIELD ParentName </w:instrText>
      </w:r>
      <w:r w:rsidRPr="00A74FC1">
        <w:rPr>
          <w:b/>
          <w:sz w:val="52"/>
          <w:szCs w:val="52"/>
        </w:rPr>
        <w:fldChar w:fldCharType="separate"/>
      </w:r>
      <w:r w:rsidR="0059329F">
        <w:rPr>
          <w:b/>
          <w:noProof/>
          <w:sz w:val="52"/>
          <w:szCs w:val="52"/>
        </w:rPr>
        <w:instrText>«ParentName»</w:instrText>
      </w:r>
      <w:r w:rsidRPr="00A74FC1">
        <w:rPr>
          <w:b/>
          <w:sz w:val="52"/>
          <w:szCs w:val="52"/>
        </w:rPr>
        <w:fldChar w:fldCharType="end"/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fldChar w:fldCharType="begin"/>
      </w:r>
      <w:r>
        <w:rPr>
          <w:b/>
          <w:sz w:val="40"/>
          <w:szCs w:val="40"/>
        </w:rPr>
        <w:instrText xml:space="preserve"> MERGEFIELD EventName </w:instrText>
      </w:r>
      <w:r>
        <w:rPr>
          <w:b/>
          <w:sz w:val="40"/>
          <w:szCs w:val="40"/>
        </w:rPr>
        <w:fldChar w:fldCharType="separate"/>
      </w:r>
      <w:r>
        <w:rPr>
          <w:b/>
          <w:noProof/>
          <w:sz w:val="40"/>
          <w:szCs w:val="40"/>
        </w:rPr>
        <w:instrText>«EventName»</w:instrText>
      </w:r>
      <w:r>
        <w:rPr>
          <w:b/>
          <w:sz w:val="40"/>
          <w:szCs w:val="40"/>
        </w:rPr>
        <w:fldChar w:fldCharType="end"/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instrText>Program for Distressed Physicians - CME</w:instrText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>
        <w:rPr>
          <w:b/>
          <w:sz w:val="52"/>
          <w:szCs w:val="52"/>
        </w:rPr>
        <w:t>Program for Distressed Physicians - CME</w:t>
      </w:r>
      <w:r w:rsidRPr="00A74FC1" w:rsidR="00FD3D76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October 1, 2025</w:t>
      </w:r>
      <w:r w:rsidR="00BC157D">
        <w:t xml:space="preserve"> </w:t>
      </w:r>
      <w:r w:rsidR="00A41F81">
        <w:t xml:space="preserve"> - </w:t>
      </w:r>
      <w:r w:rsidR="00A41F81">
        <w:t>05:00 April, 6, 2026</w:t>
      </w:r>
      <w:r>
        <w:fldChar w:fldCharType="begin"/>
      </w:r>
      <w:r>
        <w:instrText xml:space="preserve"> IF </w:instrText>
      </w:r>
      <w:r w:rsidR="00B82851">
        <w:instrText>Other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Other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Other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48.25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48.25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48.25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48.25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Compare and contrast causes of unprofessional behavior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Demonstrate awareness of the impact of behaviors that undermine a culture of safety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Adopt new skills that support professional workplace behaviors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Compare and contrast causes of unprofessional behavior</w:instrText>
      </w:r>
    </w:p>
    <w:p w:rsidP="00481AB5">
      <w:pPr>
        <w:contextualSpacing/>
        <w:rPr>
          <w:bCs/>
        </w:rPr>
      </w:pPr>
      <w:r>
        <w:rPr>
          <w:bCs/>
        </w:rPr>
        <w:instrText>2 Demonstrate awareness of the impact of behaviors that undermine a culture of safety</w:instrText>
      </w:r>
    </w:p>
    <w:p w:rsidP="00481AB5">
      <w:pPr>
        <w:contextualSpacing/>
        <w:rPr>
          <w:bCs/>
        </w:rPr>
      </w:pPr>
      <w:r>
        <w:rPr>
          <w:bCs/>
        </w:rPr>
        <w:instrText>3 Adopt new skills that support professional workplace behaviors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Compare and contrast causes of unprofessional behavior</w:t>
      </w:r>
    </w:p>
    <w:p w:rsidP="00481AB5">
      <w:pPr>
        <w:contextualSpacing/>
        <w:rPr>
          <w:bCs/>
        </w:rPr>
      </w:pPr>
      <w:r>
        <w:rPr>
          <w:bCs/>
        </w:rPr>
        <w:t>2 Demonstrate awareness of the impact of behaviors that undermine a culture of safety</w:t>
      </w:r>
    </w:p>
    <w:p w:rsidP="00481AB5">
      <w:pPr>
        <w:contextualSpacing/>
        <w:rPr>
          <w:bCs/>
        </w:rPr>
      </w:pPr>
      <w:r>
        <w:rPr>
          <w:bCs/>
        </w:rPr>
        <w:t>3 Adopt new skills that support professional workplace behaviors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</w:p>
    <w:p w:rsidR="00C24750" w:rsidRPr="00D004FB" w:rsidP="00481AB5">
      <w:pPr>
        <w:contextualSpacing/>
        <w:rPr>
          <w:bCs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Charlene M Dewey,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Independent Contractor (included contracted research)-SVMIC (Relationship has ended)|Membership on Advisory Committees or Review Panels, Board Membership, etc.-American College of Physicians - 04/08/2025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Laveil M Allen,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Ayne Nichols, MSW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Douglas R Herr, PsyD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Qutina Watson, EdD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- 07/10/2025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64092A" w:rsidP="00481AB5">
      <w:pPr>
        <w:contextualSpacing/>
        <w:rPr>
          <w:rFonts w:asciiTheme="minorHAnsi" w:hAnsiTheme="minorHAnsi" w:cstheme="minorHAnsi"/>
        </w:rPr>
      </w:pPr>
    </w:p>
    <w:p w:rsidR="006959B0" w:rsidRPr="006959B0" w:rsidP="00481AB5">
      <w:pPr>
        <w:contextualSpacing/>
        <w:rPr>
          <w:rFonts w:asciiTheme="minorHAnsi" w:hAnsiTheme="minorHAnsi" w:cstheme="minorHAnsi"/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109003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0F2091">
        <w:rPr>
          <w:color w:val="000000" w:themeColor="text1"/>
        </w:rPr>
        <w:t>24 hours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 xml:space="preserve">For </w:t>
      </w:r>
      <w:r w:rsidRPr="00145184">
        <w:rPr>
          <w:rFonts w:eastAsia="Times New Roman"/>
          <w:b/>
          <w:bCs/>
          <w:color w:val="000000" w:themeColor="text1"/>
        </w:rPr>
        <w:t>N</w:t>
      </w:r>
      <w:r w:rsidRPr="00145184">
        <w:rPr>
          <w:rFonts w:eastAsia="Times New Roman"/>
          <w:b/>
          <w:bCs/>
          <w:color w:val="000000" w:themeColor="text1"/>
        </w:rPr>
        <w:t>on-Vanderbilt</w:t>
      </w:r>
      <w:r w:rsidRPr="00145184">
        <w:rPr>
          <w:rFonts w:eastAsia="Times New Roman"/>
          <w:b/>
          <w:bCs/>
          <w:color w:val="000000" w:themeColor="text1"/>
        </w:rPr>
        <w:t xml:space="preserve">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Eppiphanie Richardson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eppiphanie.richardson@vumc.org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Saylor, James</cp:lastModifiedBy>
  <cp:revision>2</cp:revision>
  <dcterms:created xsi:type="dcterms:W3CDTF">2025-06-16T15:26:00Z</dcterms:created>
  <dcterms:modified xsi:type="dcterms:W3CDTF">2025-06-16T15:26:00Z</dcterms:modified>
</cp:coreProperties>
</file>