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w:instrText>
      </w:r>
      <w:r w:rsidRPr="00A74FC1">
        <w:rPr>
          <w:b/>
          <w:sz w:val="40"/>
          <w:szCs w:val="40"/>
        </w:rPr>
        <w:instrText>"</w:instrText>
      </w:r>
      <w:r w:rsidRPr="00A74FC1">
        <w:rPr>
          <w:b/>
          <w:sz w:val="40"/>
          <w:szCs w:val="40"/>
        </w:rPr>
        <w:instrText xml:space="preserve"> &lt;&gt; "" "</w:instrText>
      </w:r>
      <w:r w:rsidRPr="00A74FC1">
        <w:rPr>
          <w:b/>
          <w:sz w:val="52"/>
          <w:szCs w:val="52"/>
        </w:rPr>
        <w:fldChar w:fldCharType="begin"/>
      </w:r>
      <w:r w:rsidRPr="00A74FC1">
        <w:rPr>
          <w:b/>
          <w:sz w:val="52"/>
          <w:szCs w:val="52"/>
        </w:rPr>
        <w:instrText xml:space="preserve"> MERGEFIELD ParentName </w:instrText>
      </w:r>
      <w:r w:rsidRPr="00A74FC1">
        <w:rPr>
          <w:b/>
          <w:sz w:val="52"/>
          <w:szCs w:val="52"/>
        </w:rPr>
        <w:fldChar w:fldCharType="separate"/>
      </w:r>
      <w:r w:rsidR="0059329F">
        <w:rPr>
          <w:b/>
          <w:noProof/>
          <w:sz w:val="52"/>
          <w:szCs w:val="52"/>
        </w:rPr>
        <w:instrText>«ParentName»</w:instrText>
      </w:r>
      <w:r w:rsidRPr="00A74FC1">
        <w:rPr>
          <w:b/>
          <w:sz w:val="52"/>
          <w:szCs w:val="52"/>
        </w:rPr>
        <w:fldChar w:fldCharType="end"/>
      </w:r>
    </w:p>
    <w:p w:rsidR="0059329F" w:rsidP="00481AB5">
      <w:pPr>
        <w:contextualSpacing/>
        <w:rPr>
          <w:b/>
          <w:noProof/>
          <w:sz w:val="40"/>
          <w:szCs w:val="40"/>
        </w:rPr>
      </w:pPr>
      <w:r>
        <w:rPr>
          <w:b/>
          <w:sz w:val="40"/>
          <w:szCs w:val="40"/>
        </w:rPr>
        <w:fldChar w:fldCharType="begin"/>
      </w:r>
      <w:r>
        <w:rPr>
          <w:b/>
          <w:sz w:val="40"/>
          <w:szCs w:val="40"/>
        </w:rPr>
        <w:instrText xml:space="preserve"> MERGEFIELD EventName </w:instrText>
      </w:r>
      <w:r>
        <w:rPr>
          <w:b/>
          <w:sz w:val="40"/>
          <w:szCs w:val="40"/>
        </w:rPr>
        <w:fldChar w:fldCharType="separate"/>
      </w:r>
      <w:r>
        <w:rPr>
          <w:b/>
          <w:noProof/>
          <w:sz w:val="40"/>
          <w:szCs w:val="40"/>
        </w:rPr>
        <w:instrText>«EventName»</w:instrText>
      </w:r>
      <w:r>
        <w:rPr>
          <w:b/>
          <w:sz w:val="40"/>
          <w:szCs w:val="40"/>
        </w:rPr>
        <w:fldChar w:fldCharType="end"/>
      </w:r>
      <w:r w:rsidRPr="00A74FC1" w:rsidR="00FD3D76">
        <w:rPr>
          <w:b/>
          <w:sz w:val="40"/>
          <w:szCs w:val="40"/>
        </w:rPr>
        <w:instrText>" "</w:instrText>
      </w:r>
      <w:r>
        <w:rPr>
          <w:b/>
          <w:sz w:val="52"/>
          <w:szCs w:val="52"/>
        </w:rPr>
        <w:instrText>2nd Annual Junior Faculty Forum on Neuromuscular Disorders - CME-2026S</w:instrText>
      </w:r>
      <w:r w:rsidRPr="00A74FC1" w:rsidR="00FD3D76">
        <w:rPr>
          <w:b/>
          <w:sz w:val="40"/>
          <w:szCs w:val="40"/>
        </w:rPr>
        <w:instrText>"</w:instrText>
      </w:r>
      <w:r w:rsidRPr="00A74FC1" w:rsidR="00FD3D76">
        <w:rPr>
          <w:b/>
          <w:sz w:val="40"/>
          <w:szCs w:val="40"/>
        </w:rPr>
        <w:fldChar w:fldCharType="separate"/>
      </w:r>
      <w:r>
        <w:rPr>
          <w:b/>
          <w:sz w:val="52"/>
          <w:szCs w:val="52"/>
        </w:rPr>
        <w:t>2nd Annual Junior Faculty Forum on Neuromuscular Disorders - CME-2026S</w:t>
      </w:r>
      <w:r w:rsidRPr="00A74FC1" w:rsidR="00FD3D76">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06:00</w:t>
      </w:r>
      <w:r w:rsidRPr="00145184" w:rsidR="00A17BBD">
        <w:t xml:space="preserve"> April 24, 2026</w:t>
      </w:r>
      <w:r w:rsidR="00BC157D">
        <w:t xml:space="preserve"> </w:t>
      </w:r>
      <w:r w:rsidR="00A41F81">
        <w:t xml:space="preserve"> - </w:t>
      </w:r>
      <w:r w:rsidR="00A41F81">
        <w:t>01:30 April, 26, 2026</w:t>
      </w:r>
      <w:r>
        <w:fldChar w:fldCharType="begin"/>
      </w:r>
      <w:r>
        <w:instrText xml:space="preserve"> IF </w:instrText>
      </w:r>
      <w:r w:rsidR="00B82851">
        <w:instrText>"</w:instrText>
      </w:r>
      <w:r w:rsidR="00B82851">
        <w:instrText>Nashville Marriott Vanderbilt</w:instrText>
      </w:r>
      <w:r w:rsidR="00B82851">
        <w:instrText>"</w:instrText>
      </w:r>
      <w:r>
        <w:instrText xml:space="preserve"> &lt;&gt; "" "</w:instrText>
      </w:r>
    </w:p>
    <w:p w:rsidR="0059329F" w:rsidP="00481AB5">
      <w:pPr>
        <w:contextualSpacing/>
        <w:rPr>
          <w:noProof/>
        </w:rPr>
      </w:pPr>
      <w:r>
        <w:instrText xml:space="preserve">Location: </w:instrText>
      </w:r>
      <w:r>
        <w:rPr>
          <w:noProof/>
        </w:rPr>
        <w:instrText>Nashville Marriott</w:instrText>
      </w:r>
      <w:r>
        <w:rPr>
          <w:noProof/>
        </w:rPr>
        <w:instrText xml:space="preserve"> Vanderbilt</w:instrText>
      </w:r>
      <w:r>
        <w:instrText xml:space="preserve">" "" </w:instrText>
      </w:r>
      <w:r>
        <w:fldChar w:fldCharType="separate"/>
      </w:r>
    </w:p>
    <w:p w:rsidR="00C24750" w:rsidP="00481AB5">
      <w:pPr>
        <w:contextualSpacing/>
      </w:pPr>
      <w:r>
        <w:t xml:space="preserve">Location: </w:t>
      </w:r>
      <w:r w:rsidR="0059329F">
        <w:rPr>
          <w:noProof/>
        </w:rPr>
        <w:t>Nashville Marriott</w:t>
      </w:r>
      <w:r w:rsidR="0059329F">
        <w:rPr>
          <w:noProof/>
        </w:rPr>
        <w:t xml:space="preserve"> Vanderbilt</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10.75</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Pr="00D004FB">
        <w:rPr>
          <w:bCs/>
        </w:rPr>
        <w:instrText>Vanderbilt University Medical Center, Nursing Education and Professional Development, 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072CAB" w:rsidRPr="00072CAB"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w:instrText>
      </w:r>
      <w:r w:rsidRPr="00072CAB">
        <w:rPr>
          <w:bCs/>
        </w:rPr>
        <w:instrText xml:space="preserve">Continuing Education Credit: Vanderbilt University Medical Center is not an approved Dental Continuing Education provider and is not able to provide continuing education credit for participation. </w:instrText>
      </w:r>
    </w:p>
    <w:p w:rsidR="00072CAB" w:rsidRPr="00072CAB" w:rsidP="00481AB5">
      <w:pPr>
        <w:contextualSpacing/>
        <w:rPr>
          <w:bCs/>
        </w:rPr>
      </w:pPr>
    </w:p>
    <w:p w:rsidR="00072CAB" w:rsidP="00481AB5">
      <w:pPr>
        <w:contextualSpacing/>
        <w:rPr>
          <w:rStyle w:val="Hyperlink"/>
          <w:b/>
        </w:rPr>
      </w:pPr>
      <w:r w:rsidRPr="00072CAB">
        <w:rPr>
          <w:bCs/>
        </w:rPr>
        <w:instrText>The activity has received pre-approval for credit from the Tennessee Board of Dentistry, however participants seeking continuing education credit must apply to the Tennessee Board of Dentistry using the online form:</w:instrText>
      </w:r>
      <w:r>
        <w:rPr>
          <w:bCs/>
        </w:rPr>
        <w:instrText xml:space="preserve"> </w:instrText>
      </w:r>
      <w:r>
        <w:fldChar w:fldCharType="begin"/>
      </w:r>
      <w:r>
        <w:instrText xml:space="preserve"> HYPERLINK "https://vumc.cloud-cme.com/assets/vumc/pdf/PH-3867%20(COVID19%20Education%20Update%20for%20Dental%20Health%20Professionals).pdf" </w:instrText>
      </w:r>
      <w:r>
        <w:fldChar w:fldCharType="separate"/>
      </w:r>
      <w:r w:rsidRPr="00072CAB">
        <w:rPr>
          <w:rStyle w:val="Hyperlink"/>
          <w:b/>
        </w:rPr>
        <w:instrText>PH-3867 (COVID19 Education Update for Dental Health Professionals).pdf</w:instrText>
      </w:r>
      <w:r>
        <w:fldChar w:fldCharType="end"/>
      </w:r>
    </w:p>
    <w:p w:rsidR="00CC208F" w:rsidRPr="00072CAB" w:rsidP="00481AB5">
      <w:pPr>
        <w:contextualSpacing/>
        <w:rPr>
          <w:rStyle w:val="Hyperlink"/>
          <w:bCs/>
        </w:rPr>
      </w:pPr>
    </w:p>
    <w:p w:rsidR="00CC208F" w:rsidRPr="00AF78E1" w:rsidP="00481AB5">
      <w:pPr>
        <w:contextualSpacing/>
        <w:rPr>
          <w:b/>
        </w:rPr>
      </w:pPr>
      <w:r>
        <w:rPr>
          <w:bCs/>
        </w:rPr>
        <w:instrText xml:space="preserve">" "" </w:instrText>
      </w:r>
      <w:r>
        <w:rPr>
          <w:bCs/>
        </w:rPr>
        <w:fldChar w:fldCharType="separate"/>
      </w:r>
      <w:r>
        <w:rPr>
          <w:bCs/>
        </w:rPr>
        <w:fldChar w:fldCharType="end"/>
      </w: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10.75</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10.75</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10.75</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Describe and discuss new research findings and practice guidelines on neuromuscular disorders.</w:instrText>
      </w:r>
    </w:p>
    <w:p w:rsidR="00CE38A1" w:rsidP="00481AB5">
      <w:pPr>
        <w:contextualSpacing/>
        <w:rPr>
          <w:bCs/>
        </w:rPr>
      </w:pPr>
      <w:r>
        <w:rPr>
          <w:bCs/>
        </w:rPr>
        <w:instrText>2 Describe and discuss evaluation strategies to diagnose common neuromuscular disorders.</w:instrText>
      </w:r>
    </w:p>
    <w:p w:rsidR="00CE38A1" w:rsidP="00481AB5">
      <w:pPr>
        <w:contextualSpacing/>
        <w:rPr>
          <w:bCs/>
        </w:rPr>
      </w:pPr>
      <w:r>
        <w:rPr>
          <w:bCs/>
        </w:rPr>
        <w:instrText>3 Describe and discuss strategies to manage patients with neuromuscular disorders.</w:instrText>
      </w:r>
    </w:p>
    <w:p w:rsidR="00CE38A1" w:rsidP="00481AB5">
      <w:pPr>
        <w:contextualSpacing/>
        <w:rPr>
          <w:bCs/>
        </w:rPr>
      </w:pPr>
      <w:r>
        <w:rPr>
          <w:bCs/>
        </w:rPr>
        <w:instrText>4 Describe and discuss approaches to implement practice guidelines in local settings.</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Describe and discuss new research findings and practice guidelines on neuromuscular disorders.</w:instrText>
      </w:r>
    </w:p>
    <w:p w:rsidP="00481AB5">
      <w:pPr>
        <w:contextualSpacing/>
        <w:rPr>
          <w:bCs/>
        </w:rPr>
      </w:pPr>
      <w:r>
        <w:rPr>
          <w:bCs/>
        </w:rPr>
        <w:instrText>2 Describe and discuss evaluation strategies to diagnose common neuromuscular disorders.</w:instrText>
      </w:r>
    </w:p>
    <w:p w:rsidP="00481AB5">
      <w:pPr>
        <w:contextualSpacing/>
        <w:rPr>
          <w:bCs/>
        </w:rPr>
      </w:pPr>
      <w:r>
        <w:rPr>
          <w:bCs/>
        </w:rPr>
        <w:instrText>3 Describe and discuss strategies to manage patients with neuromuscular disorders.</w:instrText>
      </w:r>
    </w:p>
    <w:p w:rsidP="00481AB5">
      <w:pPr>
        <w:contextualSpacing/>
        <w:rPr>
          <w:bCs/>
        </w:rPr>
      </w:pPr>
      <w:r>
        <w:rPr>
          <w:bCs/>
        </w:rPr>
        <w:instrText>4 Describe and discuss approaches to implement practice guidelines in local settings.</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Describe and discuss new research findings and practice guidelines on neuromuscular disorders.</w:t>
      </w:r>
    </w:p>
    <w:p w:rsidP="00481AB5">
      <w:pPr>
        <w:contextualSpacing/>
        <w:rPr>
          <w:bCs/>
        </w:rPr>
      </w:pPr>
      <w:r>
        <w:rPr>
          <w:bCs/>
        </w:rPr>
        <w:t>2 Describe and discuss evaluation strategies to diagnose common neuromuscular disorders.</w:t>
      </w:r>
    </w:p>
    <w:p w:rsidP="00481AB5">
      <w:pPr>
        <w:contextualSpacing/>
        <w:rPr>
          <w:bCs/>
        </w:rPr>
      </w:pPr>
      <w:r>
        <w:rPr>
          <w:bCs/>
        </w:rPr>
        <w:t>3 Describe and discuss strategies to manage patients with neuromuscular disorders.</w:t>
      </w:r>
    </w:p>
    <w:p w:rsidP="00481AB5">
      <w:pPr>
        <w:contextualSpacing/>
        <w:rPr>
          <w:bCs/>
        </w:rPr>
      </w:pPr>
      <w:r>
        <w:rPr>
          <w:bCs/>
        </w:rPr>
        <w:t>4 Describe and discuss approaches to implement practice guidelines in local settings.</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RPr="000F5DDD" w:rsidP="00481AB5">
      <w:pPr>
        <w:contextualSpacing/>
        <w:rPr>
          <w:bCs/>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F46F37" w:rsidP="00481AB5">
      <w:pPr>
        <w:contextualSpacing/>
        <w:rPr>
          <w:rFonts w:asciiTheme="minorHAnsi" w:hAnsiTheme="minorHAnsi" w:cstheme="minorHAnsi"/>
        </w:rPr>
      </w:pPr>
      <w:r>
        <w:rPr>
          <w:rFonts w:asciiTheme="minorHAnsi" w:hAnsiTheme="minorHAnsi" w:cstheme="minorHAnsi"/>
        </w:rPr>
        <w:fldChar w:fldCharType="begin"/>
      </w:r>
      <w:r>
        <w:rPr>
          <w:rFonts w:asciiTheme="minorHAnsi" w:hAnsiTheme="minorHAnsi" w:cstheme="minorHAnsi"/>
        </w:rPr>
        <w:instrText xml:space="preserve"> IF </w:instrText>
      </w:r>
      <w:r>
        <w:rPr>
          <w:rFonts w:asciiTheme="minorHAnsi" w:hAnsiTheme="minorHAnsi" w:cstheme="minorHAnsi"/>
        </w:rPr>
        <w:instrText>"</w:instrText>
      </w:r>
      <w:r>
        <w:rPr>
          <w:rFonts w:asciiTheme="minorHAnsi" w:hAnsiTheme="minorHAnsi" w:cstheme="minorHAnsi"/>
        </w:rPr>
        <w:instrText>"</w:instrText>
      </w:r>
      <w:r>
        <w:rPr>
          <w:rFonts w:asciiTheme="minorHAnsi" w:hAnsiTheme="minorHAnsi" w:cstheme="minorHAnsi"/>
        </w:rPr>
        <w:instrText xml:space="preserve"> = "" "This activity received no commercial support." "</w:instrText>
      </w:r>
      <w:r>
        <w:rPr>
          <w:rFonts w:asciiTheme="minorHAnsi" w:hAnsiTheme="minorHAnsi" w:cstheme="minorHAnsi"/>
        </w:rPr>
        <w:fldChar w:fldCharType="begin"/>
      </w:r>
      <w:r>
        <w:rPr>
          <w:rFonts w:asciiTheme="minorHAnsi" w:hAnsiTheme="minorHAnsi" w:cstheme="minorHAnsi"/>
        </w:rPr>
        <w:instrText xml:space="preserve"> MERGEFIELD CommercialSupport \* MERGEFORMAT </w:instrText>
      </w:r>
      <w:r>
        <w:rPr>
          <w:rFonts w:asciiTheme="minorHAnsi" w:hAnsiTheme="minorHAnsi" w:cstheme="minorHAnsi"/>
        </w:rPr>
        <w:fldChar w:fldCharType="separate"/>
      </w:r>
      <w:r w:rsidR="0059329F">
        <w:rPr>
          <w:rFonts w:asciiTheme="minorHAnsi" w:hAnsiTheme="minorHAnsi" w:cstheme="minorHAnsi"/>
          <w:noProof/>
        </w:rPr>
        <w:instrText>«CommercialSupport»</w:instrText>
      </w:r>
      <w:r>
        <w:rPr>
          <w:rFonts w:asciiTheme="minorHAnsi" w:hAnsiTheme="minorHAnsi" w:cstheme="minorHAnsi"/>
        </w:rPr>
        <w:fldChar w:fldCharType="end"/>
      </w:r>
      <w:r>
        <w:rPr>
          <w:rFonts w:asciiTheme="minorHAnsi" w:hAnsiTheme="minorHAnsi" w:cstheme="minorHAnsi"/>
        </w:rPr>
        <w:instrText xml:space="preserve">" </w:instrText>
      </w:r>
      <w:r>
        <w:rPr>
          <w:rFonts w:asciiTheme="minorHAnsi" w:hAnsiTheme="minorHAnsi" w:cstheme="minorHAnsi"/>
        </w:rPr>
        <w:fldChar w:fldCharType="separate"/>
      </w:r>
      <w:r>
        <w:rPr>
          <w:rFonts w:asciiTheme="minorHAnsi" w:hAnsiTheme="minorHAnsi" w:cstheme="minorHAnsi"/>
        </w:rPr>
        <w:t>This activity received no commercial support.</w:t>
      </w:r>
      <w:r>
        <w:rPr>
          <w:rFonts w:asciiTheme="minorHAnsi" w:hAnsiTheme="minorHAnsi" w:cstheme="minorHAnsi"/>
        </w:rPr>
        <w:fldChar w:fldCharType="end"/>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Syed Ahmed,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Honoraria-Priovant - 03/19/2026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Mustafa Al-Kharsan,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Abdullah AlQahtani,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Dinanath Attele,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Alexander J Bader,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Naman Bareja, MBBS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Cassie N Chan,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etc.-ArgenX (Relationship has ended) - 02/25/2026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Swathy Chandrashekhar, MBBS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Philip D Charles,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Fee-Alliance for Patient Access|Grant or research support-BlueRock|Grant or research support-AskBio|Grant or research support-AbbVie|Consulting Fee-AbbVie|Grant or research support-Neuron23|Grant or research support-Biohaven|Grant or research support-MotricBio|Grant or research support-Vima|Consulting Fee-Aspen|Consulting Fee-Ceraxis - 03/17/2026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Dane M Chetkovich,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Peer Reviewer,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- 10/31/2025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Eric Creed,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Warda Faridi,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Andrew Feldman,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Alaina Giacobbe,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Harper, BPS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Lauren Herrera,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Ehtesham Khalid, MBBS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Bureau-Alexion|Speakers Bureau-Johnson &amp; Johnson|Speakers Bureau-UCB|Honoraria-Amgen|Honoraria-AstraZeneca|Honoraria-Sanofi|Honoraria-Takeda|Honoraria-UCB|Honoraria-Priovent - 03/22/2026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Carlos Lara,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Christopher D Lee,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Jory Liang,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Meadows,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Paul Mikhaiel,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Jodi Nelson,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Amanda C Peltier,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etc.-Alnylam|Speakers Bureau-Astrazeneca|Membership on Advisory Committees or Review Panels, Board Membership, etc.-Argenx|Consulting Fee-CSL Behring (Relationship has ended)|Grant or research support-NIH Neuronext PI|Grant or research support-CSL Behring|Membership on Advisory Committees or Review Panels, Board Membership, etc.-Astrazeneca|Speakers Bureau-Catalyst (Relationship has ended)|Membership on Advisory Committees or Review Panels, Board Membership, etc.-Peripheral Nerve Society|Advisor-Goldman Ismail Legal firm - 08/21/2025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Stephanie Roses,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Jose Sanchez,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Bureau-Amgen|Speakers Bureau-ArgenX - 03/11/2026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Chelsea A Shugars,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Bureau-Amgen|Speakers Bureau-Mitsubishi Tanabe - 03/07/2026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Louanne Sirota,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 Takacs,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vivek venkatesh,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- 03/12/2026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110480</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For N</w:t>
      </w:r>
      <w:r w:rsidRPr="00145184">
        <w:rPr>
          <w:rFonts w:eastAsia="Times New Roman"/>
          <w:b/>
          <w:bCs/>
          <w:color w:val="000000" w:themeColor="text1"/>
        </w:rPr>
        <w:t>on-Vanderbilt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w:t>
      </w:r>
      <w:r w:rsidR="00BC775B">
        <w:rPr>
          <w:b/>
          <w:color w:val="000000" w:themeColor="text1"/>
        </w:rPr>
        <w:t>CloudCME</w:t>
      </w:r>
      <w:r w:rsidR="00BC775B">
        <w:rPr>
          <w:b/>
          <w:color w:val="000000" w:themeColor="text1"/>
        </w:rPr>
        <w:t xml:space="preserv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 xml:space="preserve">address as entered in your </w:t>
      </w:r>
      <w:r w:rsidR="00BC775B">
        <w:rPr>
          <w:rFonts w:eastAsia="Times New Roman"/>
          <w:b/>
          <w:bCs/>
          <w:color w:val="000000" w:themeColor="text1"/>
        </w:rPr>
        <w:t>CloudCME</w:t>
      </w:r>
      <w:r w:rsidR="00BC775B">
        <w:rPr>
          <w:rFonts w:eastAsia="Times New Roman"/>
          <w:b/>
          <w:bCs/>
          <w:color w:val="000000" w:themeColor="text1"/>
        </w:rPr>
        <w:t xml:space="preserv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Kelly Harper</w:t>
      </w:r>
    </w:p>
    <w:p w:rsidR="00A82C4C" w:rsidP="00481AB5">
      <w:pPr>
        <w:contextualSpacing/>
        <w:jc w:val="center"/>
        <w:rPr>
          <w:noProof/>
        </w:rPr>
      </w:pPr>
      <w:r>
        <w:rPr>
          <w:noProof/>
        </w:rPr>
        <w:t>kelly.a.harper@vumc.org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hitney Semibold">
    <w:altName w:val="Whitney Semi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699</Words>
  <Characters>4825</Characters>
  <Application>Microsoft Office Word</Application>
  <DocSecurity>0</DocSecurity>
  <Lines>201</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Potts, Haley</cp:lastModifiedBy>
  <cp:revision>17</cp:revision>
  <dcterms:created xsi:type="dcterms:W3CDTF">2025-10-07T15:28:00Z</dcterms:created>
  <dcterms:modified xsi:type="dcterms:W3CDTF">2026-01-20T20:51:00Z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