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w:instrText>
      </w:r>
      <w:r w:rsidRPr="00A74FC1">
        <w:rPr>
          <w:b/>
          <w:sz w:val="40"/>
          <w:szCs w:val="40"/>
        </w:rPr>
        <w:instrText>"</w:instrText>
      </w:r>
      <w:r w:rsidRPr="00A74FC1">
        <w:rPr>
          <w:b/>
          <w:sz w:val="40"/>
          <w:szCs w:val="40"/>
        </w:rPr>
        <w:instrText xml:space="preserve"> &lt;&gt; "" "</w:instrText>
      </w:r>
      <w:r w:rsidRPr="00A74FC1">
        <w:rPr>
          <w:b/>
          <w:sz w:val="52"/>
          <w:szCs w:val="52"/>
        </w:rPr>
        <w:fldChar w:fldCharType="begin"/>
      </w:r>
      <w:r w:rsidRPr="00A74FC1">
        <w:rPr>
          <w:b/>
          <w:sz w:val="52"/>
          <w:szCs w:val="52"/>
        </w:rPr>
        <w:instrText xml:space="preserve"> MERGEFIELD ParentName </w:instrText>
      </w:r>
      <w:r w:rsidRPr="00A74FC1">
        <w:rPr>
          <w:b/>
          <w:sz w:val="52"/>
          <w:szCs w:val="52"/>
        </w:rPr>
        <w:fldChar w:fldCharType="separate"/>
      </w:r>
      <w:r w:rsidR="0059329F">
        <w:rPr>
          <w:b/>
          <w:noProof/>
          <w:sz w:val="52"/>
          <w:szCs w:val="52"/>
        </w:rPr>
        <w:instrText>«ParentName»</w:instrText>
      </w:r>
      <w:r w:rsidRPr="00A74FC1">
        <w:rPr>
          <w:b/>
          <w:sz w:val="52"/>
          <w:szCs w:val="52"/>
        </w:rPr>
        <w:fldChar w:fldCharType="end"/>
      </w:r>
    </w:p>
    <w:p w:rsidR="0059329F" w:rsidP="00481AB5">
      <w:pPr>
        <w:contextualSpacing/>
        <w:rPr>
          <w:b/>
          <w:noProof/>
          <w:sz w:val="40"/>
          <w:szCs w:val="40"/>
        </w:rPr>
      </w:pPr>
      <w:r>
        <w:rPr>
          <w:b/>
          <w:sz w:val="40"/>
          <w:szCs w:val="40"/>
        </w:rPr>
        <w:fldChar w:fldCharType="begin"/>
      </w:r>
      <w:r>
        <w:rPr>
          <w:b/>
          <w:sz w:val="40"/>
          <w:szCs w:val="40"/>
        </w:rPr>
        <w:instrText xml:space="preserve"> MERGEFIELD EventName </w:instrText>
      </w:r>
      <w:r>
        <w:rPr>
          <w:b/>
          <w:sz w:val="40"/>
          <w:szCs w:val="40"/>
        </w:rPr>
        <w:fldChar w:fldCharType="separate"/>
      </w:r>
      <w:r>
        <w:rPr>
          <w:b/>
          <w:noProof/>
          <w:sz w:val="40"/>
          <w:szCs w:val="40"/>
        </w:rPr>
        <w:instrText>«EventName»</w:instrText>
      </w:r>
      <w:r>
        <w:rPr>
          <w:b/>
          <w:sz w:val="40"/>
          <w:szCs w:val="40"/>
        </w:rPr>
        <w:fldChar w:fldCharType="end"/>
      </w:r>
      <w:r w:rsidRPr="00A74FC1" w:rsidR="00FD3D76">
        <w:rPr>
          <w:b/>
          <w:sz w:val="40"/>
          <w:szCs w:val="40"/>
        </w:rPr>
        <w:instrText>" "</w:instrText>
      </w:r>
      <w:r>
        <w:rPr>
          <w:b/>
          <w:sz w:val="52"/>
          <w:szCs w:val="52"/>
        </w:rPr>
        <w:instrText>The Future of Lung Cancer Care: It’s Here - The 2nd Vanderbilt Lung Cancer Conference 2026S CME</w:instrText>
      </w:r>
      <w:r w:rsidRPr="00A74FC1" w:rsidR="00FD3D76">
        <w:rPr>
          <w:b/>
          <w:sz w:val="40"/>
          <w:szCs w:val="40"/>
        </w:rPr>
        <w:instrText>"</w:instrText>
      </w:r>
      <w:r w:rsidRPr="00A74FC1" w:rsidR="00FD3D76">
        <w:rPr>
          <w:b/>
          <w:sz w:val="40"/>
          <w:szCs w:val="40"/>
        </w:rPr>
        <w:fldChar w:fldCharType="separate"/>
      </w:r>
      <w:r>
        <w:rPr>
          <w:b/>
          <w:sz w:val="52"/>
          <w:szCs w:val="52"/>
        </w:rPr>
        <w:t>The Future of Lung Cancer Care: It’s Here - The 2nd Vanderbilt Lung Cancer Conference 2026S CME</w:t>
      </w:r>
      <w:r w:rsidRPr="00A74FC1" w:rsidR="00FD3D76">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08:30</w:t>
      </w:r>
      <w:r w:rsidRPr="00145184" w:rsidR="00A17BBD">
        <w:t xml:space="preserve"> May 8, 2026</w:t>
      </w:r>
      <w:r w:rsidR="00BC157D">
        <w:t xml:space="preserve"> </w:t>
      </w:r>
      <w:r w:rsidR="00A41F81">
        <w:t xml:space="preserve"> - </w:t>
      </w:r>
      <w:r w:rsidR="00A41F81">
        <w:t>02:30 May, 8,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6.00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6.00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6.00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6.00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Evaluate emerging technologies across disciplines; participants will be able to describe advances in interventional pulmonology, radiology, surgery, medical oncology, and radiation oncology that are shaping the future of lung cancer care.</w:instrText>
      </w:r>
    </w:p>
    <w:p w:rsidR="00CE38A1" w:rsidP="00481AB5">
      <w:pPr>
        <w:contextualSpacing/>
        <w:rPr>
          <w:bCs/>
        </w:rPr>
      </w:pPr>
      <w:r>
        <w:rPr>
          <w:bCs/>
        </w:rPr>
        <w:instrText>2 Integrate patient-centered perspectives; participants will learn to incorporate the lived experience of patients with lung cancer into clinical decision-making, ensuring that novel technologies align with patient values and preferences.</w:instrText>
      </w:r>
    </w:p>
    <w:p w:rsidR="00CE38A1" w:rsidP="00481AB5">
      <w:pPr>
        <w:contextualSpacing/>
        <w:rPr>
          <w:bCs/>
        </w:rPr>
      </w:pPr>
      <w:r>
        <w:rPr>
          <w:bCs/>
        </w:rPr>
        <w:instrText>3 Apply innovations to multidisciplinary care models; participants will be able to discuss how artificial intelligence, robotics, immunotherapy, and precision medicine can be integrated into multidisciplinary practice to improve early detection, treatment, and outcomes.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Evaluate emerging technologies across disciplines; participants will be able to describe advances in interventional pulmonology, radiology, surgery, medical oncology, and radiation oncology that are shaping the future of lung cancer care.</w:instrText>
      </w:r>
    </w:p>
    <w:p w:rsidP="00481AB5">
      <w:pPr>
        <w:contextualSpacing/>
        <w:rPr>
          <w:bCs/>
        </w:rPr>
      </w:pPr>
      <w:r>
        <w:rPr>
          <w:bCs/>
        </w:rPr>
        <w:instrText>2 Integrate patient-centered perspectives; participants will learn to incorporate the lived experience of patients with lung cancer into clinical decision-making, ensuring that novel technologies align with patient values and preferences.</w:instrText>
      </w:r>
    </w:p>
    <w:p w:rsidP="00481AB5">
      <w:pPr>
        <w:contextualSpacing/>
        <w:rPr>
          <w:bCs/>
        </w:rPr>
      </w:pPr>
      <w:r>
        <w:rPr>
          <w:bCs/>
        </w:rPr>
        <w:instrText>3 Apply innovations to multidisciplinary care models; participants will be able to discuss how artificial intelligence, robotics, immunotherapy, and precision medicine can be integrated into multidisciplinary practice to improve early detection, treatment, and outcomes.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Evaluate emerging technologies across disciplines; participants will be able to describe advances in interventional pulmonology, radiology, surgery, medical oncology, and radiation oncology that are shaping the future of lung cancer care.</w:t>
      </w:r>
    </w:p>
    <w:p w:rsidP="00481AB5">
      <w:pPr>
        <w:contextualSpacing/>
        <w:rPr>
          <w:bCs/>
        </w:rPr>
      </w:pPr>
      <w:r>
        <w:rPr>
          <w:bCs/>
        </w:rPr>
        <w:t>2 Integrate patient-centered perspectives; participants will learn to incorporate the lived experience of patients with lung cancer into clinical decision-making, ensuring that novel technologies align with patient values and preferences.</w:t>
      </w:r>
    </w:p>
    <w:p w:rsidP="00481AB5">
      <w:pPr>
        <w:contextualSpacing/>
        <w:rPr>
          <w:bCs/>
        </w:rPr>
      </w:pPr>
      <w:r>
        <w:rPr>
          <w:bCs/>
        </w:rPr>
        <w:t>3 Apply innovations to multidisciplinary care models; participants will be able to discuss how artificial intelligence, robotics, immunotherapy, and precision medicine can be integrated into multidisciplinary practice to improve early detection, treatment, and outcomes.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Trisha Carter,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Caitlin Demarest,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Duke,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Fee-Intuitive Surgical|Grant or research support-Cook Medical - 01/26/2026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Fabien Maldonado,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Fee-Medtronic|Grant or research support-Medtronic - 01/29/2026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Mammarappallil,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Fee-Boeringher Ingelheim|Consulting Fee-Galvanize Therapeutics|Consulting Fee-BD Peripherals|Consulting Fee-Polarean - 09/29/2025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Evan C Osmundson,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support-Varian-Siemens|Grant or research support-Guardant|Grant or research support-Genentech - 04/23/2026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Mohamed Shanshal,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H Sterman,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Fee-AstraZeneca|Consulting Fee-Medscape|Executive-Parents against Vaping &amp; Electronic Cigarettes|Consulting Fee-Trustees of the University of Pennsylvania|Consulting Fee-Intuitive Surgical Inc|Consulting Fee-Janssen Research and Development|Consulting Fee-Johnson &amp; Johnson|Consulting Fee-Sensei Biotherapeutics|Consulting Fee-Tigermed|Consulting Fee-Trizell, Ltd.|Consulting Fee-Wolters Kluwer Health Inc - 10/01/2025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111400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Trisha Carter</w:t>
      </w:r>
    </w:p>
    <w:p w:rsidR="00A82C4C" w:rsidP="00481AB5">
      <w:pPr>
        <w:contextualSpacing/>
        <w:jc w:val="center"/>
        <w:rPr>
          <w:noProof/>
        </w:rPr>
      </w:pPr>
      <w:r>
        <w:rPr>
          <w:noProof/>
        </w:rPr>
        <w:t>trisha.kelly@vumc.org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