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w:instrText>
      </w:r>
      <w:r w:rsidRPr="00A74FC1">
        <w:rPr>
          <w:b/>
          <w:sz w:val="40"/>
          <w:szCs w:val="40"/>
        </w:rPr>
        <w:instrText>"</w:instrText>
      </w:r>
      <w:r w:rsidRPr="00A74FC1">
        <w:rPr>
          <w:b/>
          <w:sz w:val="40"/>
          <w:szCs w:val="40"/>
        </w:rPr>
        <w:instrText xml:space="preserve"> &lt;&gt; "" "</w:instrText>
      </w:r>
      <w:r w:rsidRPr="00A74FC1">
        <w:rPr>
          <w:b/>
          <w:sz w:val="52"/>
          <w:szCs w:val="52"/>
        </w:rPr>
        <w:fldChar w:fldCharType="begin"/>
      </w:r>
      <w:r w:rsidRPr="00A74FC1">
        <w:rPr>
          <w:b/>
          <w:sz w:val="52"/>
          <w:szCs w:val="52"/>
        </w:rPr>
        <w:instrText xml:space="preserve"> MERGEFIELD ParentName </w:instrText>
      </w:r>
      <w:r w:rsidRPr="00A74FC1">
        <w:rPr>
          <w:b/>
          <w:sz w:val="52"/>
          <w:szCs w:val="52"/>
        </w:rPr>
        <w:fldChar w:fldCharType="separate"/>
      </w:r>
      <w:r w:rsidR="0059329F">
        <w:rPr>
          <w:b/>
          <w:noProof/>
          <w:sz w:val="52"/>
          <w:szCs w:val="52"/>
        </w:rPr>
        <w:instrText>«ParentName»</w:instrText>
      </w:r>
      <w:r w:rsidRPr="00A74FC1">
        <w:rPr>
          <w:b/>
          <w:sz w:val="52"/>
          <w:szCs w:val="52"/>
        </w:rPr>
        <w:fldChar w:fldCharType="end"/>
      </w:r>
    </w:p>
    <w:p w:rsidR="0059329F" w:rsidP="00481AB5">
      <w:pPr>
        <w:contextualSpacing/>
        <w:rPr>
          <w:b/>
          <w:noProof/>
          <w:sz w:val="40"/>
          <w:szCs w:val="40"/>
        </w:rPr>
      </w:pPr>
      <w:r>
        <w:rPr>
          <w:b/>
          <w:sz w:val="40"/>
          <w:szCs w:val="40"/>
        </w:rPr>
        <w:fldChar w:fldCharType="begin"/>
      </w:r>
      <w:r>
        <w:rPr>
          <w:b/>
          <w:sz w:val="40"/>
          <w:szCs w:val="40"/>
        </w:rPr>
        <w:instrText xml:space="preserve"> MERGEFIELD EventName </w:instrText>
      </w:r>
      <w:r>
        <w:rPr>
          <w:b/>
          <w:sz w:val="40"/>
          <w:szCs w:val="40"/>
        </w:rPr>
        <w:fldChar w:fldCharType="separate"/>
      </w:r>
      <w:r>
        <w:rPr>
          <w:b/>
          <w:noProof/>
          <w:sz w:val="40"/>
          <w:szCs w:val="40"/>
        </w:rPr>
        <w:instrText>«EventName»</w:instrText>
      </w:r>
      <w:r>
        <w:rPr>
          <w:b/>
          <w:sz w:val="40"/>
          <w:szCs w:val="40"/>
        </w:rPr>
        <w:fldChar w:fldCharType="end"/>
      </w:r>
      <w:r w:rsidRPr="00A74FC1" w:rsidR="00FD3D76">
        <w:rPr>
          <w:b/>
          <w:sz w:val="40"/>
          <w:szCs w:val="40"/>
        </w:rPr>
        <w:instrText>" "</w:instrText>
      </w:r>
      <w:r>
        <w:rPr>
          <w:b/>
          <w:sz w:val="52"/>
          <w:szCs w:val="52"/>
        </w:rPr>
        <w:instrText>49th Annual Contemporary Clinical Neurology Symposium - 2026 CME</w:instrText>
      </w:r>
      <w:r w:rsidRPr="00A74FC1" w:rsidR="00FD3D76">
        <w:rPr>
          <w:b/>
          <w:sz w:val="40"/>
          <w:szCs w:val="40"/>
        </w:rPr>
        <w:instrText>"</w:instrText>
      </w:r>
      <w:r w:rsidRPr="00A74FC1" w:rsidR="00FD3D76">
        <w:rPr>
          <w:b/>
          <w:sz w:val="40"/>
          <w:szCs w:val="40"/>
        </w:rPr>
        <w:fldChar w:fldCharType="separate"/>
      </w:r>
      <w:r>
        <w:rPr>
          <w:b/>
          <w:sz w:val="52"/>
          <w:szCs w:val="52"/>
        </w:rPr>
        <w:t>49th Annual Contemporary Clinical Neurology Symposium - 2026 CME</w:t>
      </w:r>
      <w:r w:rsidRPr="00A74FC1" w:rsidR="00FD3D76">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July 13, 2026</w:t>
      </w:r>
      <w:r w:rsidR="00BC157D">
        <w:t xml:space="preserve"> </w:t>
      </w:r>
      <w:r w:rsidR="00A41F81">
        <w:t xml:space="preserve"> - </w:t>
      </w:r>
      <w:r w:rsidR="00A41F81">
        <w:t>01:00 July, 17, 2026</w:t>
      </w:r>
      <w:r>
        <w:fldChar w:fldCharType="begin"/>
      </w:r>
      <w:r>
        <w:instrText xml:space="preserve"> IF </w:instrText>
      </w:r>
      <w:r w:rsidR="00B82851">
        <w:instrText>"</w:instrText>
      </w:r>
      <w:r w:rsidR="00B82851">
        <w:instrText>Omni Hilton Head</w:instrText>
      </w:r>
      <w:r w:rsidR="00B82851">
        <w:instrText>"</w:instrText>
      </w:r>
      <w:r>
        <w:instrText xml:space="preserve"> &lt;&gt; "" "</w:instrText>
      </w:r>
    </w:p>
    <w:p w:rsidR="0059329F" w:rsidP="00481AB5">
      <w:pPr>
        <w:contextualSpacing/>
        <w:rPr>
          <w:noProof/>
        </w:rPr>
      </w:pPr>
      <w:r>
        <w:instrText xml:space="preserve">Location: </w:instrText>
      </w:r>
      <w:r>
        <w:rPr>
          <w:noProof/>
        </w:rPr>
        <w:instrText>Omni Hilton</w:instrText>
      </w:r>
      <w:r w:rsidR="00C364B7">
        <w:instrText xml:space="preserve"> Head</w:instrText>
      </w:r>
      <w:r>
        <w:instrText xml:space="preserve">" "" </w:instrText>
      </w:r>
      <w:r>
        <w:fldChar w:fldCharType="separate"/>
      </w:r>
    </w:p>
    <w:p w:rsidR="00C24750" w:rsidP="00481AB5">
      <w:pPr>
        <w:contextualSpacing/>
      </w:pPr>
      <w:r>
        <w:t xml:space="preserve">Location: </w:t>
      </w:r>
      <w:r w:rsidR="0059329F">
        <w:rPr>
          <w:noProof/>
        </w:rPr>
        <w:t>Omni Hilton</w:t>
      </w:r>
      <w:r w:rsidR="00C364B7">
        <w:t xml:space="preserve"> Head</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20.00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00C364B7">
        <w:rPr>
          <w:bCs/>
        </w:rPr>
        <w:instrText xml:space="preserve">Vanderbilt Health </w:instrText>
      </w:r>
      <w:r w:rsidRPr="00D004FB">
        <w:rPr>
          <w:bCs/>
        </w:rPr>
        <w:instrText>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20.00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20.00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20.00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 xml:space="preserve">1 Understand evaluation and diagnosis of neuroimmunologic disorders, sleep disorders, neuromuscular disorders, movement disorders, and neuromuscular disorders. </w:instrText>
      </w:r>
    </w:p>
    <w:p w:rsidR="00CE38A1" w:rsidP="00481AB5">
      <w:pPr>
        <w:contextualSpacing/>
        <w:rPr>
          <w:bCs/>
        </w:rPr>
      </w:pPr>
      <w:r>
        <w:rPr>
          <w:bCs/>
        </w:rPr>
        <w:instrText xml:space="preserve">2 Describe evidence-based management strategies for neuroimmunologic disorders, sleep disorders, neuromuscular disorders, movement disorders, and neuromuscular disorders. </w:instrText>
      </w:r>
    </w:p>
    <w:p w:rsidR="00CE38A1" w:rsidP="00481AB5">
      <w:pPr>
        <w:contextualSpacing/>
        <w:rPr>
          <w:bCs/>
        </w:rPr>
      </w:pPr>
      <w:r>
        <w:rPr>
          <w:bCs/>
        </w:rPr>
        <w:instrText xml:space="preserve">3 Understand implications of potential federal policy changes related to recently passed legislation. </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 xml:space="preserve">1 Understand evaluation and diagnosis of neuroimmunologic disorders, sleep disorders, neuromuscular disorders, movement disorders, and neuromuscular disorders. </w:instrText>
      </w:r>
    </w:p>
    <w:p w:rsidP="00481AB5">
      <w:pPr>
        <w:contextualSpacing/>
        <w:rPr>
          <w:bCs/>
        </w:rPr>
      </w:pPr>
      <w:r>
        <w:rPr>
          <w:bCs/>
        </w:rPr>
        <w:instrText xml:space="preserve">2 Describe evidence-based management strategies for neuroimmunologic disorders, sleep disorders, neuromuscular disorders, movement disorders, and neuromuscular disorders. </w:instrText>
      </w:r>
    </w:p>
    <w:p w:rsidP="00481AB5">
      <w:pPr>
        <w:contextualSpacing/>
        <w:rPr>
          <w:bCs/>
        </w:rPr>
      </w:pPr>
      <w:r>
        <w:rPr>
          <w:bCs/>
        </w:rPr>
        <w:instrText xml:space="preserve">3 Understand implications of potential federal policy changes related to recently passed legislation. </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 xml:space="preserve">1 Understand evaluation and diagnosis of neuroimmunologic disorders, sleep disorders, neuromuscular disorders, movement disorders, and neuromuscular disorders. </w:t>
      </w:r>
    </w:p>
    <w:p w:rsidP="00481AB5">
      <w:pPr>
        <w:contextualSpacing/>
        <w:rPr>
          <w:bCs/>
        </w:rPr>
      </w:pPr>
      <w:r>
        <w:rPr>
          <w:bCs/>
        </w:rPr>
        <w:t xml:space="preserve">2 Describe evidence-based management strategies for neuroimmunologic disorders, sleep disorders, neuromuscular disorders, movement disorders, and neuromuscular disorders. </w:t>
      </w:r>
    </w:p>
    <w:p w:rsidP="00481AB5">
      <w:pPr>
        <w:contextualSpacing/>
        <w:rPr>
          <w:bCs/>
        </w:rPr>
      </w:pPr>
      <w:r>
        <w:rPr>
          <w:bCs/>
        </w:rPr>
        <w:t xml:space="preserve">3 Understand implications of potential federal policy changes related to recently passed legislation. </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P="00481AB5">
      <w:pPr>
        <w:contextualSpacing/>
        <w:rPr>
          <w:rFonts w:asciiTheme="minorHAnsi" w:hAnsiTheme="minorHAnsi" w:cstheme="minorHAnsi"/>
          <w:b/>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2B326D" w:rsidRPr="000F5DDD">
      <w:pPr>
        <w:bidi w:val="0"/>
        <w:spacing w:after="280" w:afterAutospacing="1"/>
        <w:rPr>
          <w:bCs/>
        </w:rPr>
      </w:pPr>
      <w:r>
        <w:rPr>
          <w:rtl w:val="0"/>
        </w:rPr>
        <w:t>Vanderbilt University Medical Center Department of Neurology expresses appreciation to the following companies for their support of this educational activity by providing unrestricted educational grants: Eisai, Argenx, Grifols, UCB, Novartis, AbbVie</w:t>
      </w:r>
    </w:p>
    <w:p>
      <w:pPr>
        <w:bidi w:val="0"/>
        <w:spacing w:after="280" w:afterAutospacing="1"/>
        <w:rPr>
          <w:bCs/>
        </w:rPr>
      </w:pP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p>
    <w:p w:rsidP="00481AB5">
      <w:pPr>
        <w:contextualSpacing/>
        <w:rPr>
          <w:rFonts w:asciiTheme="minorHAnsi" w:hAnsiTheme="minorHAnsi" w:cstheme="minorHAnsi"/>
        </w:rPr>
      </w:pP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p>
    <w:p w:rsidP="00481AB5">
      <w:pPr>
        <w:contextualSpacing/>
        <w:rPr>
          <w:rFonts w:asciiTheme="minorHAnsi" w:hAnsiTheme="minorHAnsi" w:cstheme="minorHAnsi"/>
        </w:rPr>
      </w:pPr>
    </w:p>
    <w:p w:rsidP="00481AB5">
      <w:pPr>
        <w:contextualSpacing/>
        <w:rPr>
          <w:rFonts w:asciiTheme="minorHAnsi" w:hAnsiTheme="minorHAnsi" w:cstheme="minorHAnsi"/>
        </w:rPr>
      </w:pP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E Brown,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support-AbbVie|Grant or research support-Neurocrine|Grant or research support-Novartis|Grant or research support-Teva Pharmaceutical |Grant or research support-Alterity|Grant or research support-Hoffman-La Roche|Grant or research support-UniQure|Grant or research support-Dasher|Grant or research support-lun|Grant or research support-Orphalan|Grant or research support-Ferrer - 03/27/2026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Allen L Cantrell,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Philip D Charles,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Fee-Alliance for Patient Access|Grant or research support-BlueRock|Grant or research support-AskBio|Grant or research support-AbbVie|Consulting Fee-AbbVie|Grant or research support-Neuron23|Grant or research support-Biohaven|Grant or research support-MotricBio|Grant or research support-Vima|Consulting Fee-Aspen|Consulting Fee-Ceraxis - 03/17/2026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Dane M Chetkovich,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Peer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Olivia K Gruder,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Harper, BPS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Howard S Kirshner,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D Lee,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Subramaniam Sriram,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Raghu P Upender,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Lily Venditti,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Kyle B Womack,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research)-Eisai|Independent Contractor (included contracted research)-Cognition Therapeutics - 05/28/2026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116689</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 xml:space="preserve">For </w:t>
      </w:r>
      <w:r w:rsidRPr="00145184">
        <w:rPr>
          <w:rFonts w:eastAsia="Times New Roman"/>
          <w:b/>
          <w:bCs/>
          <w:color w:val="000000" w:themeColor="text1"/>
        </w:rPr>
        <w:t>N</w:t>
      </w:r>
      <w:r w:rsidRPr="00145184">
        <w:rPr>
          <w:rFonts w:eastAsia="Times New Roman"/>
          <w:b/>
          <w:bCs/>
          <w:color w:val="000000" w:themeColor="text1"/>
        </w:rPr>
        <w:t>on-Vanderbilt</w:t>
      </w:r>
      <w:r w:rsidRPr="00145184">
        <w:rPr>
          <w:rFonts w:eastAsia="Times New Roman"/>
          <w:b/>
          <w:bCs/>
          <w:color w:val="000000" w:themeColor="text1"/>
        </w:rPr>
        <w:t xml:space="preserve">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CloudCME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address as entered in your CloudCME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Kelly Harper, Lily Venditti</w:t>
      </w:r>
    </w:p>
    <w:p w:rsidR="00A82C4C" w:rsidP="00481AB5">
      <w:pPr>
        <w:contextualSpacing/>
        <w:jc w:val="center"/>
        <w:rPr>
          <w:noProof/>
        </w:rPr>
      </w:pPr>
      <w:r>
        <w:rPr>
          <w:noProof/>
        </w:rPr>
        <w:t>kelly.a.harper@vumc.org, lily.j.venditti@vumc.org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Mitchell, Sarah E</cp:lastModifiedBy>
  <cp:revision>2</cp:revision>
  <dcterms:created xsi:type="dcterms:W3CDTF">2026-06-16T18:30:00Z</dcterms:created>
  <dcterms:modified xsi:type="dcterms:W3CDTF">2026-06-16T18:30:00Z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