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111205</w:instrText>
      </w:r>
      <w:r w:rsidRPr="00A74FC1">
        <w:rPr>
          <w:b/>
          <w:sz w:val="40"/>
          <w:szCs w:val="40"/>
        </w:rPr>
        <w:instrText xml:space="preserve"> &lt;&gt; "" "</w:instrText>
      </w:r>
      <w:r w:rsidRPr="00A74FC1">
        <w:rPr>
          <w:b/>
          <w:sz w:val="52"/>
          <w:szCs w:val="52"/>
        </w:rPr>
        <w:instrText>BeHiP ECHO Monthly Call - 2026S CME (recurring)</w:instrText>
      </w:r>
    </w:p>
    <w:p w:rsidR="0059329F" w:rsidP="00481AB5">
      <w:pPr>
        <w:contextualSpacing/>
        <w:rPr>
          <w:b/>
          <w:noProof/>
          <w:sz w:val="40"/>
          <w:szCs w:val="40"/>
        </w:rPr>
      </w:pPr>
      <w:r>
        <w:rPr>
          <w:b/>
          <w:sz w:val="40"/>
          <w:szCs w:val="40"/>
        </w:rPr>
        <w:instrText>BeHiP ECHO Monthly Call - 11/5/2026S CME</w:instrText>
      </w:r>
      <w:r w:rsidRPr="00A74FC1" w:rsidR="00FD3D76">
        <w:rPr>
          <w:b/>
          <w:sz w:val="40"/>
          <w:szCs w:val="40"/>
        </w:rPr>
        <w:instrText>" "</w:instrText>
      </w:r>
      <w:r>
        <w:rPr>
          <w:b/>
          <w:sz w:val="52"/>
          <w:szCs w:val="52"/>
        </w:rPr>
        <w:fldChar w:fldCharType="begin"/>
      </w:r>
      <w:r>
        <w:rPr>
          <w:b/>
          <w:sz w:val="52"/>
          <w:szCs w:val="52"/>
        </w:rPr>
        <w:instrText xml:space="preserve"> MERGEFIELD EventName </w:instrText>
      </w:r>
      <w:r>
        <w:rPr>
          <w:b/>
          <w:sz w:val="52"/>
          <w:szCs w:val="52"/>
        </w:rPr>
        <w:fldChar w:fldCharType="separate"/>
      </w:r>
      <w:r>
        <w:rPr>
          <w:b/>
          <w:sz w:val="52"/>
          <w:szCs w:val="52"/>
        </w:rPr>
        <w:fldChar w:fldCharType="end"/>
      </w:r>
      <w:r w:rsidRPr="00A74FC1" w:rsidR="00FD3D76">
        <w:rPr>
          <w:b/>
          <w:sz w:val="40"/>
          <w:szCs w:val="40"/>
        </w:rPr>
        <w:instrText>"</w:instrText>
      </w:r>
      <w:r w:rsidRPr="00A74FC1" w:rsidR="00FD3D76">
        <w:rPr>
          <w:b/>
          <w:sz w:val="40"/>
          <w:szCs w:val="40"/>
        </w:rPr>
        <w:fldChar w:fldCharType="separate"/>
      </w:r>
      <w:r w:rsidRPr="00A74FC1" w:rsidR="00A74FC1">
        <w:rPr>
          <w:b/>
          <w:sz w:val="52"/>
          <w:szCs w:val="52"/>
        </w:rPr>
        <w:t>BeHiP ECHO Monthly Call - 2026S CME (recurring)</w:t>
      </w:r>
    </w:p>
    <w:p w:rsidR="00FD3D76" w:rsidRPr="00A74FC1" w:rsidP="00481AB5">
      <w:pPr>
        <w:contextualSpacing/>
        <w:rPr>
          <w:b/>
          <w:sz w:val="40"/>
          <w:szCs w:val="40"/>
        </w:rPr>
      </w:pPr>
      <w:r>
        <w:rPr>
          <w:b/>
          <w:sz w:val="40"/>
          <w:szCs w:val="40"/>
        </w:rPr>
        <w:t>BeHiP ECHO Monthly Call - 11/5/2026S CME</w:t>
      </w:r>
      <w:r w:rsidRPr="00A74FC1">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11:00</w:t>
      </w:r>
      <w:r w:rsidRPr="00145184" w:rsidR="00A17BBD">
        <w:t xml:space="preserve"> November 5, 2026</w:t>
      </w:r>
      <w:r w:rsidR="00BC157D">
        <w:t xml:space="preserve"> </w:t>
      </w:r>
      <w:r w:rsidR="00A41F81">
        <w:t xml:space="preserve"> - </w:t>
      </w:r>
      <w:r w:rsidR="00A41F81">
        <w:t>12:00 November, 5, 2026</w:t>
      </w:r>
      <w:r>
        <w:fldChar w:fldCharType="begin"/>
      </w:r>
      <w:r>
        <w:instrText xml:space="preserve"> IF </w:instrText>
      </w:r>
      <w:r w:rsidR="00B82851">
        <w:rPr>
          <w:noProof/>
        </w:rPr>
        <w:instrText>"</w:instrText>
      </w:r>
      <w:r w:rsidR="00B82851">
        <w:rPr>
          <w:noProof/>
        </w:rPr>
        <w:instrText>"</w:instrText>
      </w:r>
      <w:r>
        <w:instrText xml:space="preserve"> &lt;&gt; "" "</w:instrText>
      </w:r>
    </w:p>
    <w:p w:rsidR="0059329F" w:rsidP="00481AB5">
      <w:pPr>
        <w:contextualSpacing/>
        <w:rPr>
          <w:noProof/>
        </w:rPr>
      </w:pPr>
      <w:r>
        <w:instrText xml:space="preserve">Location: </w:instrText>
      </w:r>
      <w:r>
        <w:fldChar w:fldCharType="begin"/>
      </w:r>
      <w:r>
        <w:instrText xml:space="preserve"> MERGEFIELD Location \* MERGEFORMAT </w:instrText>
      </w:r>
      <w:r>
        <w:fldChar w:fldCharType="separate"/>
      </w:r>
      <w:r>
        <w:rPr>
          <w:noProof/>
        </w:rPr>
        <w:instrText>«Location»</w:instrText>
      </w:r>
      <w:r>
        <w:rPr>
          <w:noProof/>
        </w:rPr>
        <w:fldChar w:fldCharType="end"/>
      </w:r>
      <w:r>
        <w:instrText xml:space="preserve">" "" </w:instrText>
      </w:r>
      <w:r>
        <w:fldChar w:fldCharType="separate"/>
      </w:r>
      <w:r w:rsidR="00C24750">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1.00</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0F2091" w:rsidRPr="00AF78E1" w:rsidP="000F2091">
      <w:pPr>
        <w:contextualSpacing/>
        <w:rPr>
          <w:b/>
        </w:rPr>
      </w:pPr>
      <w:r>
        <w:rPr>
          <w:bCs/>
        </w:rPr>
        <w:instrText xml:space="preserve">" "" </w:instrText>
      </w:r>
      <w:r>
        <w:rPr>
          <w:bCs/>
        </w:rPr>
        <w:fldChar w:fldCharType="separate"/>
      </w:r>
      <w:r>
        <w:rPr>
          <w:bCs/>
        </w:rPr>
        <w:fldChar w:fldCharType="end"/>
      </w:r>
      <w:r w:rsidR="00072CAB">
        <w:rPr>
          <w:bCs/>
        </w:rPr>
        <w:fldChar w:fldCharType="begin"/>
      </w:r>
      <w:r w:rsidR="00072CAB">
        <w:rPr>
          <w:bCs/>
        </w:rPr>
        <w:instrText xml:space="preserve"> IF </w:instrText>
      </w:r>
      <w:r w:rsidR="00072CAB">
        <w:rPr>
          <w:bCs/>
        </w:rPr>
        <w:instrText>0.00</w:instrText>
      </w:r>
      <w:r w:rsidR="00072CAB">
        <w:rPr>
          <w:bCs/>
        </w:rPr>
        <w:instrText xml:space="preserve"> &gt; 0 "</w:instrText>
      </w:r>
      <w:r>
        <w:rPr>
          <w:b/>
        </w:rPr>
        <w:instrText>Approval</w:instrText>
      </w:r>
    </w:p>
    <w:p w:rsidR="00072CAB" w:rsidP="00481AB5">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B82851" w:rsidP="00B82851">
      <w:pPr>
        <w:pStyle w:val="NormalWeb"/>
      </w:pPr>
      <w:r>
        <w:rPr>
          <w:noProof/>
        </w:rPr>
        <w:drawing>
          <wp:inline distT="0" distB="0" distL="0" distR="0">
            <wp:extent cx="923925" cy="885825"/>
            <wp:effectExtent l="0" t="0" r="0" b="0"/>
            <wp:docPr id="1" name="Picture 1" descr="C:\Users\krentzs\AppData\Local\Microsoft\Windows\INetCache\Content.Outlook\Q66A7D80\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ntzs\AppData\Local\Microsoft\Windows\INetCache\Content.Outlook\Q66A7D80\APA logo.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p>
    <w:p w:rsidR="00072CAB" w:rsidP="00481AB5">
      <w:pPr>
        <w:contextualSpacing/>
        <w:rPr>
          <w:bCs/>
        </w:rPr>
      </w:pPr>
    </w:p>
    <w:p w:rsidR="004F06D4" w:rsidP="004F06D4">
      <w:pPr>
        <w:contextualSpacing/>
        <w:rPr>
          <w:b/>
        </w:rPr>
      </w:pPr>
      <w:r>
        <w:rPr>
          <w:bCs/>
        </w:rPr>
        <w:instrText xml:space="preserve">" "" </w:instrText>
      </w:r>
      <w:r>
        <w:rPr>
          <w:bCs/>
        </w:rPr>
        <w:fldChar w:fldCharType="separate"/>
      </w:r>
      <w:r>
        <w:rPr>
          <w:bCs/>
        </w:rPr>
        <w:fldChar w:fldCharType="end"/>
      </w:r>
    </w:p>
    <w:p w:rsidR="00CC208F" w:rsidRPr="00AF78E1" w:rsidP="00481AB5">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1.00</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1.00</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1.00</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Recognize the effects of trauma on the developing child</w:instrText>
      </w:r>
    </w:p>
    <w:p w:rsidR="00CE38A1" w:rsidP="00481AB5">
      <w:pPr>
        <w:contextualSpacing/>
        <w:rPr>
          <w:bCs/>
        </w:rPr>
      </w:pPr>
      <w:r>
        <w:rPr>
          <w:bCs/>
        </w:rPr>
        <w:instrText>2 Identify children with psychological trauma and physical abuse in the primary care setting</w:instrText>
      </w:r>
    </w:p>
    <w:p w:rsidR="00CE38A1" w:rsidP="00481AB5">
      <w:pPr>
        <w:contextualSpacing/>
        <w:rPr>
          <w:bCs/>
        </w:rPr>
      </w:pPr>
    </w:p>
    <w:p w:rsidR="00CE38A1" w:rsidP="00481AB5">
      <w:pPr>
        <w:contextualSpacing/>
        <w:rPr>
          <w:bCs/>
        </w:rPr>
      </w:pPr>
    </w:p>
    <w:p w:rsidR="00CE38A1" w:rsidP="00481AB5">
      <w:pPr>
        <w:contextualSpacing/>
        <w:rPr>
          <w:bCs/>
        </w:rPr>
      </w:pPr>
      <w:r>
        <w:rPr>
          <w:bCs/>
        </w:rPr>
        <w:instrText>3 Apply principles of trauma-competent care to the primary care pediatric setting</w:instrText>
      </w:r>
    </w:p>
    <w:p w:rsidR="00CE38A1" w:rsidP="00481AB5">
      <w:pPr>
        <w:contextualSpacing/>
        <w:rPr>
          <w:bCs/>
        </w:rPr>
      </w:pPr>
      <w:r>
        <w:rPr>
          <w:bCs/>
        </w:rPr>
        <w:instrText xml:space="preserve">4 Increase collaboration with local community resources and other behavioral health care providers. </w:instrText>
      </w:r>
    </w:p>
    <w:p w:rsidR="00CE38A1" w:rsidP="00481AB5">
      <w:pPr>
        <w:contextualSpacing/>
        <w:rPr>
          <w:bCs/>
        </w:rPr>
      </w:pPr>
      <w:r>
        <w:rPr>
          <w:bCs/>
        </w:rPr>
        <w:instrText>5 Effectively manage psychopharmacology, including understanding clinical guidelines and the eight medications primary care pediatric providers could prescribe</w:instrText>
      </w:r>
    </w:p>
    <w:p w:rsidR="00CE38A1" w:rsidP="00481AB5">
      <w:pPr>
        <w:contextualSpacing/>
        <w:rPr>
          <w:bCs/>
        </w:rPr>
      </w:pPr>
      <w:r>
        <w:rPr>
          <w:bCs/>
        </w:rPr>
        <w:instrText>6 Effectively manage psychopharmacology, including selecting medications or switching medications for patients</w:instrText>
      </w:r>
    </w:p>
    <w:p w:rsidR="00CE38A1" w:rsidP="00481AB5">
      <w:pPr>
        <w:contextualSpacing/>
        <w:rPr>
          <w:bCs/>
        </w:rPr>
      </w:pPr>
      <w:r>
        <w:rPr>
          <w:bCs/>
        </w:rPr>
        <w:instrText>7 Effectively manage psychopharmacology, including initiating and tapering dosages</w:instrText>
      </w:r>
    </w:p>
    <w:p w:rsidR="00CE38A1" w:rsidP="00481AB5">
      <w:pPr>
        <w:contextualSpacing/>
        <w:rPr>
          <w:bCs/>
        </w:rPr>
      </w:pPr>
      <w:r>
        <w:rPr>
          <w:bCs/>
        </w:rPr>
        <w:instrText>8 Effectively manage psychopharmacology, including monitoring medication usage</w:instrText>
      </w:r>
    </w:p>
    <w:p w:rsidR="00CE38A1" w:rsidP="00481AB5">
      <w:pPr>
        <w:contextualSpacing/>
        <w:rPr>
          <w:bCs/>
        </w:rPr>
      </w:pPr>
      <w:r>
        <w:rPr>
          <w:bCs/>
        </w:rPr>
        <w:instrText xml:space="preserve">9 Understand local and state resources available for providers to share with patients/families regarding mental and behavioral health concerns. </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Recognize the effects of trauma on the developing child</w:instrText>
      </w:r>
    </w:p>
    <w:p w:rsidP="00481AB5">
      <w:pPr>
        <w:contextualSpacing/>
        <w:rPr>
          <w:bCs/>
        </w:rPr>
      </w:pPr>
      <w:r>
        <w:rPr>
          <w:bCs/>
        </w:rPr>
        <w:instrText>2 Identify children with psychological trauma and physical abuse in the primary care setting</w:instrText>
      </w:r>
    </w:p>
    <w:p w:rsidP="00481AB5">
      <w:pPr>
        <w:contextualSpacing/>
        <w:rPr>
          <w:bCs/>
        </w:rPr>
      </w:pPr>
    </w:p>
    <w:p w:rsidP="00481AB5">
      <w:pPr>
        <w:contextualSpacing/>
        <w:rPr>
          <w:bCs/>
        </w:rPr>
      </w:pPr>
    </w:p>
    <w:p w:rsidP="00481AB5">
      <w:pPr>
        <w:contextualSpacing/>
        <w:rPr>
          <w:bCs/>
        </w:rPr>
      </w:pPr>
      <w:r>
        <w:rPr>
          <w:bCs/>
        </w:rPr>
        <w:instrText>3 Apply principles of trauma-competent care to the primary care pediatric setting</w:instrText>
      </w:r>
    </w:p>
    <w:p w:rsidP="00481AB5">
      <w:pPr>
        <w:contextualSpacing/>
        <w:rPr>
          <w:bCs/>
        </w:rPr>
      </w:pPr>
      <w:r>
        <w:rPr>
          <w:bCs/>
        </w:rPr>
        <w:instrText xml:space="preserve">4 Increase collaboration with local community resources and other behavioral health care providers. </w:instrText>
      </w:r>
    </w:p>
    <w:p w:rsidP="00481AB5">
      <w:pPr>
        <w:contextualSpacing/>
        <w:rPr>
          <w:bCs/>
        </w:rPr>
      </w:pPr>
      <w:r>
        <w:rPr>
          <w:bCs/>
        </w:rPr>
        <w:instrText>5 Effectively manage psychopharmacology, including understanding clinical guidelines and the eight medications primary care pediatric providers could prescribe</w:instrText>
      </w:r>
    </w:p>
    <w:p w:rsidP="00481AB5">
      <w:pPr>
        <w:contextualSpacing/>
        <w:rPr>
          <w:bCs/>
        </w:rPr>
      </w:pPr>
      <w:r>
        <w:rPr>
          <w:bCs/>
        </w:rPr>
        <w:instrText>6 Effectively manage psychopharmacology, including selecting medications or switching medications for patients</w:instrText>
      </w:r>
    </w:p>
    <w:p w:rsidP="00481AB5">
      <w:pPr>
        <w:contextualSpacing/>
        <w:rPr>
          <w:bCs/>
        </w:rPr>
      </w:pPr>
      <w:r>
        <w:rPr>
          <w:bCs/>
        </w:rPr>
        <w:instrText>7 Effectively manage psychopharmacology, including initiating and tapering dosages</w:instrText>
      </w:r>
    </w:p>
    <w:p w:rsidP="00481AB5">
      <w:pPr>
        <w:contextualSpacing/>
        <w:rPr>
          <w:bCs/>
        </w:rPr>
      </w:pPr>
      <w:r>
        <w:rPr>
          <w:bCs/>
        </w:rPr>
        <w:instrText>8 Effectively manage psychopharmacology, including monitoring medication usage</w:instrText>
      </w:r>
    </w:p>
    <w:p w:rsidP="00481AB5">
      <w:pPr>
        <w:contextualSpacing/>
        <w:rPr>
          <w:bCs/>
        </w:rPr>
      </w:pPr>
      <w:r>
        <w:rPr>
          <w:bCs/>
        </w:rPr>
        <w:instrText xml:space="preserve">9 Understand local and state resources available for providers to share with patients/families regarding mental and behavioral health concerns. </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Recognize the effects of trauma on the developing child</w:t>
      </w:r>
    </w:p>
    <w:p w:rsidP="00481AB5">
      <w:pPr>
        <w:contextualSpacing/>
        <w:rPr>
          <w:bCs/>
        </w:rPr>
      </w:pPr>
      <w:r>
        <w:rPr>
          <w:bCs/>
        </w:rPr>
        <w:t>2 Identify children with psychological trauma and physical abuse in the primary care setting</w:t>
      </w:r>
    </w:p>
    <w:p w:rsidP="00481AB5">
      <w:pPr>
        <w:contextualSpacing/>
        <w:rPr>
          <w:bCs/>
        </w:rPr>
      </w:pPr>
    </w:p>
    <w:p w:rsidP="00481AB5">
      <w:pPr>
        <w:contextualSpacing/>
        <w:rPr>
          <w:bCs/>
        </w:rPr>
      </w:pPr>
    </w:p>
    <w:p w:rsidP="00481AB5">
      <w:pPr>
        <w:contextualSpacing/>
        <w:rPr>
          <w:bCs/>
        </w:rPr>
      </w:pPr>
      <w:r>
        <w:rPr>
          <w:bCs/>
        </w:rPr>
        <w:t>3 Apply principles of trauma-competent care to the primary care pediatric setting</w:t>
      </w:r>
    </w:p>
    <w:p w:rsidP="00481AB5">
      <w:pPr>
        <w:contextualSpacing/>
        <w:rPr>
          <w:bCs/>
        </w:rPr>
      </w:pPr>
      <w:r>
        <w:rPr>
          <w:bCs/>
        </w:rPr>
        <w:t xml:space="preserve">4 Increase collaboration with local community resources and other behavioral health care providers. </w:t>
      </w:r>
    </w:p>
    <w:p w:rsidP="00481AB5">
      <w:pPr>
        <w:contextualSpacing/>
        <w:rPr>
          <w:bCs/>
        </w:rPr>
      </w:pPr>
      <w:r>
        <w:rPr>
          <w:bCs/>
        </w:rPr>
        <w:t>5 Effectively manage psychopharmacology, including understanding clinical guidelines and the eight medications primary care pediatric providers could prescribe</w:t>
      </w:r>
    </w:p>
    <w:p w:rsidP="00481AB5">
      <w:pPr>
        <w:contextualSpacing/>
        <w:rPr>
          <w:bCs/>
        </w:rPr>
      </w:pPr>
      <w:r>
        <w:rPr>
          <w:bCs/>
        </w:rPr>
        <w:t>6 Effectively manage psychopharmacology, including selecting medications or switching medications for patients</w:t>
      </w:r>
    </w:p>
    <w:p w:rsidP="00481AB5">
      <w:pPr>
        <w:contextualSpacing/>
        <w:rPr>
          <w:bCs/>
        </w:rPr>
      </w:pPr>
      <w:r>
        <w:rPr>
          <w:bCs/>
        </w:rPr>
        <w:t>7 Effectively manage psychopharmacology, including initiating and tapering dosages</w:t>
      </w:r>
    </w:p>
    <w:p w:rsidP="00481AB5">
      <w:pPr>
        <w:contextualSpacing/>
        <w:rPr>
          <w:bCs/>
        </w:rPr>
      </w:pPr>
      <w:r>
        <w:rPr>
          <w:bCs/>
        </w:rPr>
        <w:t>8 Effectively manage psychopharmacology, including monitoring medication usage</w:t>
      </w:r>
    </w:p>
    <w:p w:rsidP="00481AB5">
      <w:pPr>
        <w:contextualSpacing/>
        <w:rPr>
          <w:bCs/>
        </w:rPr>
      </w:pPr>
      <w:r>
        <w:rPr>
          <w:bCs/>
        </w:rPr>
        <w:t xml:space="preserve">9 Understand local and state resources available for providers to share with patients/families regarding mental and behavioral health concerns. </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847CEB" w:rsidP="00847CEB">
      <w:pPr>
        <w:contextualSpacing/>
        <w:rPr>
          <w:bCs/>
        </w:rPr>
      </w:pPr>
      <w:r>
        <w:rPr>
          <w:bCs/>
        </w:rPr>
        <w:fldChar w:fldCharType="begin"/>
      </w:r>
      <w:r>
        <w:rPr>
          <w:bCs/>
        </w:rPr>
        <w:instrText xml:space="preserve"> IF </w:instrText>
      </w:r>
      <w:r>
        <w:rPr>
          <w:bCs/>
        </w:rPr>
        <w:instrText>0.00</w:instrText>
      </w:r>
      <w:r>
        <w:rPr>
          <w:bCs/>
        </w:rPr>
        <w:instrText xml:space="preserve"> &gt; 0 "</w:instrText>
      </w:r>
      <w:r w:rsidRPr="00A17109">
        <w:rPr>
          <w:b/>
        </w:rPr>
        <w:instrText>Americans with Disabilities Act</w:instrText>
      </w:r>
      <w:r>
        <w:rPr>
          <w:bCs/>
        </w:rPr>
        <w:instrText xml:space="preserve">  </w:instrText>
      </w:r>
    </w:p>
    <w:p w:rsidR="00847CEB" w:rsidP="00847CEB">
      <w:pPr>
        <w:contextualSpacing/>
        <w:rPr>
          <w:bCs/>
        </w:rPr>
      </w:pPr>
      <w:r>
        <w:rPr>
          <w:bCs/>
        </w:rPr>
        <w:instrText xml:space="preserve">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w:instrText>
      </w:r>
      <w:r w:rsidR="000F5DDD">
        <w:rPr>
          <w:bCs/>
        </w:rPr>
        <w:instrText xml:space="preserve">at cme@vumc.org </w:instrText>
      </w:r>
      <w:r>
        <w:rPr>
          <w:bCs/>
        </w:rPr>
        <w:instrText xml:space="preserve">to request assistance. </w:instrText>
      </w:r>
    </w:p>
    <w:p w:rsidR="00847CEB" w:rsidP="00847CEB">
      <w:pPr>
        <w:contextualSpacing/>
        <w:rPr>
          <w:bCs/>
        </w:rPr>
      </w:pPr>
    </w:p>
    <w:p w:rsidR="00F46F37" w:rsidP="00481AB5">
      <w:pPr>
        <w:contextualSpacing/>
        <w:rPr>
          <w:rFonts w:asciiTheme="minorHAnsi" w:hAnsiTheme="minorHAnsi" w:cstheme="minorHAnsi"/>
          <w:b/>
        </w:rPr>
      </w:pPr>
      <w:r>
        <w:rPr>
          <w:bCs/>
        </w:rPr>
        <w:instrText xml:space="preserve">" "" </w:instrText>
      </w:r>
      <w:r>
        <w:rPr>
          <w:bCs/>
        </w:rPr>
        <w:fldChar w:fldCharType="separate"/>
      </w:r>
      <w:r>
        <w:rPr>
          <w:bCs/>
        </w:rPr>
        <w:fldChar w:fldCharType="end"/>
      </w:r>
      <w:r>
        <w:rPr>
          <w:rFonts w:asciiTheme="minorHAnsi" w:hAnsiTheme="minorHAnsi" w:cstheme="minorHAnsi"/>
          <w:b/>
        </w:rPr>
        <w:t>Commercial Support</w:t>
      </w:r>
    </w:p>
    <w:p w:rsidR="002B326D" w:rsidRPr="000F5DDD">
      <w:pPr>
        <w:bidi w:val="0"/>
        <w:spacing w:after="280" w:afterAutospacing="1"/>
        <w:rPr>
          <w:bCs/>
        </w:rPr>
      </w:pPr>
      <w:r>
        <w:rPr>
          <w:rtl w:val="0"/>
        </w:rPr>
        <w:t>This educational activity received no commercial support.</w:t>
      </w:r>
    </w:p>
    <w:p>
      <w:pPr>
        <w:bidi w:val="0"/>
        <w:spacing w:after="280" w:afterAutospacing="1"/>
        <w:rPr>
          <w:bCs/>
        </w:rPr>
      </w:pPr>
    </w:p>
    <w:p w:rsidR="00F46F37" w:rsidP="00481AB5">
      <w:pPr>
        <w:contextualSpacing/>
        <w:rPr>
          <w:rFonts w:asciiTheme="minorHAnsi" w:hAnsiTheme="minorHAnsi" w:cstheme="minorHAnsi"/>
        </w:rPr>
      </w:pPr>
    </w:p>
    <w:p w:rsidR="00F46F37" w:rsidP="00481AB5">
      <w:pPr>
        <w:contextualSpacing/>
        <w:rPr>
          <w:rFonts w:asciiTheme="minorHAnsi" w:hAnsiTheme="minorHAnsi" w:cstheme="minorHAnsi"/>
          <w:b/>
          <w:bCs/>
        </w:rPr>
      </w:pPr>
      <w:r>
        <w:rPr>
          <w:rFonts w:asciiTheme="minorHAnsi" w:hAnsiTheme="minorHAnsi" w:cstheme="minorHAnsi"/>
          <w:b/>
          <w:bCs/>
        </w:rPr>
        <w:t>Financial Disclosures</w:t>
      </w:r>
    </w:p>
    <w:p w:rsidR="00C24750" w:rsidRPr="00CE0985" w:rsidP="00481AB5">
      <w:pPr>
        <w:contextualSpacing/>
        <w:rPr>
          <w:rFonts w:asciiTheme="minorHAnsi" w:hAnsiTheme="minorHAnsi" w:cstheme="minorHAnsi"/>
        </w:rPr>
      </w:pPr>
      <w:r>
        <w:rPr>
          <w:rFonts w:asciiTheme="minorHAnsi" w:hAnsiTheme="minorHAnsi" w:cstheme="minorHAnsi"/>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P="00481AB5">
      <w:pPr>
        <w:contextualSpacing/>
        <w:rPr>
          <w:rFonts w:asciiTheme="minorHAnsi" w:hAnsiTheme="minorHAnsi" w:cstheme="minorHAnsi"/>
        </w:rPr>
      </w:pPr>
    </w:p>
    <w:p w:rsidP="00481AB5">
      <w:pPr>
        <w:contextualSpacing/>
        <w:rPr>
          <w:rFonts w:asciiTheme="minorHAnsi" w:hAnsiTheme="minorHAnsi" w:cstheme="minorHAnsi"/>
        </w:rPr>
      </w:pPr>
      <w:r>
        <w:rPr>
          <w:rFonts w:asciiTheme="minorHAnsi" w:hAnsiTheme="minorHAnsi" w:cstheme="minorHAnsi"/>
        </w:rPr>
        <w:t>All relevant conflicts of interest have been mitigated before this activity started.</w:t>
      </w:r>
    </w:p>
    <w:p w:rsidP="00481AB5">
      <w:pPr>
        <w:contextualSpacing/>
        <w:rPr>
          <w:rFonts w:asciiTheme="minorHAnsi" w:hAnsiTheme="minorHAnsi" w:cstheme="minorHAnsi"/>
        </w:rPr>
      </w:pPr>
    </w:p>
    <w:p w:rsidP="00481AB5">
      <w:pPr>
        <w:contextualSpacing/>
        <w:rPr>
          <w:rFonts w:asciiTheme="minorHAnsi" w:hAnsiTheme="minorHAnsi" w:cstheme="minorHAnsi"/>
        </w:rPr>
      </w:pPr>
      <w:r w:rsidR="00CE0985">
        <w:rPr>
          <w:rFonts w:asciiTheme="minorHAnsi" w:hAnsiTheme="minorHAnsi" w:cstheme="minorHAnsi"/>
        </w:rPr>
        <w:t xml:space="preserve"> </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Michelle Bowden,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Speakers Bureau-Merck, Sharp and Dohme - 12/23/2025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Neerav A Desai,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- 12/01/2025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Timothy Fuller, DO</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Grace Mayberry, MSW</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- 12/31/2025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Mitchell,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Smith,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Amber Stroupe,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- 08/24/2026</w:t>
            </w:r>
          </w:p>
        </w:tc>
      </w:tr>
    </w:tbl>
    <w:p>
      <w:pPr>
        <w:bidi w:val="0"/>
        <w:spacing w:after="280" w:afterAutospacing="1"/>
        <w:rPr>
          <w:rtl w:val="0"/>
        </w:rPr>
      </w:pPr>
    </w:p>
    <w:p w:rsidR="00A82C4C" w:rsidRPr="00145184" w:rsidP="00481AB5">
      <w:pPr>
        <w:contextualSpacing/>
      </w:pPr>
      <w:r>
        <w:rPr>
          <w:noProof/>
        </w:rPr>
        <w:pict>
          <v:rect id="_x0000_i1025" style="height:0.05pt;mso-height-percent:0;mso-width-percent:0;width:468pt" o:hralign="center" o:hrstd="t" o:hr="t" fillcolor="#a0a0a0" stroked="f"/>
        </w:pict>
      </w:r>
    </w:p>
    <w:p w:rsidR="00A82C4C" w:rsidRPr="00145184" w:rsidP="00481AB5">
      <w:pPr>
        <w:contextualSpacing/>
        <w:rPr>
          <w:color w:val="000000" w:themeColor="text1"/>
          <w:sz w:val="52"/>
          <w:szCs w:val="52"/>
        </w:rPr>
      </w:pPr>
      <w:r w:rsidRPr="00145184">
        <w:rPr>
          <w:color w:val="000000" w:themeColor="text1"/>
          <w:sz w:val="52"/>
          <w:szCs w:val="52"/>
        </w:rPr>
        <w:t>125980</w:t>
      </w:r>
    </w:p>
    <w:p w:rsidR="00A82C4C" w:rsidRPr="00145184" w:rsidP="00481AB5">
      <w:pPr>
        <w:contextualSpacing/>
        <w:rPr>
          <w:color w:val="000000" w:themeColor="text1"/>
        </w:rPr>
      </w:pPr>
      <w:r w:rsidRPr="00145184">
        <w:rPr>
          <w:color w:val="000000" w:themeColor="text1"/>
        </w:rPr>
        <w:t xml:space="preserve">Credit code must be texted to </w:t>
      </w:r>
      <w:r w:rsidR="005F3B9E">
        <w:rPr>
          <w:rFonts w:eastAsia="Times New Roman"/>
          <w:color w:val="000000" w:themeColor="text1"/>
          <w:sz w:val="23"/>
          <w:szCs w:val="23"/>
        </w:rPr>
        <w:t>855-776-6263</w:t>
      </w:r>
      <w:r w:rsidRPr="00145184">
        <w:rPr>
          <w:rFonts w:eastAsia="Times New Roman"/>
          <w:color w:val="000000" w:themeColor="text1"/>
          <w:sz w:val="23"/>
          <w:szCs w:val="23"/>
        </w:rPr>
        <w:t xml:space="preserve"> </w:t>
      </w:r>
      <w:r w:rsidRPr="00145184" w:rsidR="004B5CD4">
        <w:rPr>
          <w:color w:val="000000" w:themeColor="text1"/>
        </w:rPr>
        <w:t xml:space="preserve">within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A82C4C" w:rsidRPr="00145184" w:rsidP="00481AB5">
      <w:pPr>
        <w:contextualSpacing/>
        <w:jc w:val="center"/>
        <w:rPr>
          <w:color w:val="000000" w:themeColor="text1"/>
        </w:rPr>
      </w:pPr>
      <w:r w:rsidRPr="00145184">
        <w:rPr>
          <w:color w:val="000000" w:themeColor="text1"/>
        </w:rPr>
        <w:t xml:space="preserve">If you </w:t>
      </w:r>
      <w:r w:rsidR="00B45799">
        <w:rPr>
          <w:color w:val="000000" w:themeColor="text1"/>
        </w:rPr>
        <w:t>need assistance claiming credit, please contact</w:t>
      </w:r>
    </w:p>
    <w:p w:rsidR="00A82C4C" w:rsidRPr="00145184" w:rsidP="00481AB5">
      <w:pPr>
        <w:contextualSpacing/>
        <w:jc w:val="center"/>
      </w:pPr>
      <w:r>
        <w:rPr>
          <w:noProof/>
        </w:rPr>
        <w:t>Amber Stroupe, Grace Mayberry</w:t>
      </w:r>
    </w:p>
    <w:p w:rsidR="00A82C4C" w:rsidP="00481AB5">
      <w:pPr>
        <w:contextualSpacing/>
        <w:jc w:val="center"/>
        <w:rPr>
          <w:noProof/>
        </w:rPr>
      </w:pPr>
      <w:r>
        <w:rPr>
          <w:noProof/>
        </w:rPr>
        <w:t>amber.stroupe@tnaap.org, Grace.Mayberry@tnaap.org</w:t>
      </w:r>
    </w:p>
    <w:p w:rsidR="00442B21" w:rsidRPr="006959B0" w:rsidP="006959B0">
      <w:pPr>
        <w:contextualSpacing/>
        <w:jc w:val="center"/>
      </w:pPr>
      <w:r>
        <w:rPr>
          <w:noProof/>
        </w:rPr>
        <w:t xml:space="preserve">or visit </w:t>
      </w:r>
      <w:r>
        <w:fldChar w:fldCharType="begin"/>
      </w:r>
      <w:r>
        <w:instrText xml:space="preserve"> HYPERLINK "https://vumc.cloud-cme.com/about/help" </w:instrText>
      </w:r>
      <w:r>
        <w:fldChar w:fldCharType="separate"/>
      </w:r>
      <w:r w:rsidRPr="009B4F1A">
        <w:rPr>
          <w:rStyle w:val="Hyperlink"/>
          <w:rFonts w:eastAsia="Times New Roman"/>
          <w:bCs/>
        </w:rPr>
        <w:t>https://vumc.cloud-cme.com/about/help</w:t>
      </w:r>
      <w:r>
        <w:fldChar w:fldCharType="end"/>
      </w: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hitney Semibold">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Mitchell, Sarah E</cp:lastModifiedBy>
  <cp:revision>5</cp:revision>
  <dcterms:created xsi:type="dcterms:W3CDTF">2026-06-16T18:30:00Z</dcterms:created>
  <dcterms:modified xsi:type="dcterms:W3CDTF">2026-09-09T18:57:00Z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