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- Maria Oquendo- 9/10/2021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- Maria Oquendo- 9/10/2021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September 10, 2021</w:t>
      </w:r>
      <w:r w:rsidR="00BC157D">
        <w:t xml:space="preserve"> </w:t>
      </w:r>
      <w:r w:rsidR="00A41F81">
        <w:t xml:space="preserve"> - </w:t>
      </w:r>
      <w:r w:rsidR="00A41F81">
        <w:t>01:00 September, 10, 2021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Identify the formal definition of suicidal behavior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recognize that suicidal behavior is comorbid with a variety of diagnoses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articulate that suicidal behavior is familial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Identify the formal definition of suicidal behavior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recognize that suicidal behavior is comorbid with a variety of diagnoses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articulate that suicidal behavior is familial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1 Identify the formal definition of suicidal behavior</w:t>
      </w:r>
    </w:p>
    <w:p w:rsidR="00F46F37" w:rsidP="00481AB5">
      <w:pPr>
        <w:contextualSpacing/>
        <w:rPr>
          <w:bCs/>
        </w:rPr>
      </w:pPr>
      <w:r>
        <w:rPr>
          <w:bCs/>
        </w:rPr>
        <w:t>2 recognize that suicidal behavior is comorbid with a variety of diagnoses</w:t>
      </w:r>
    </w:p>
    <w:p w:rsidR="00F46F37" w:rsidP="00481AB5">
      <w:pPr>
        <w:contextualSpacing/>
        <w:rPr>
          <w:bCs/>
        </w:rPr>
      </w:pPr>
      <w:r>
        <w:rPr>
          <w:bCs/>
        </w:rPr>
        <w:t>2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>3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3 articulate that suicidal behavior is familial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- 03/22/2021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Maria Oquendo,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Bristol-Myers Squibb-Ownership Interest-owns stock-N/A-N/A-NONE|Research Foundation for Mental Hygiene |receive royalties from the Research Foundation for Mental Hygiene -Columbia Suicide Severity Rating Scale-indications of suicide severity-Option_1-none - 07/27/2021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32867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