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40th Annual Neonatology Symposium - Advances and Controversies in Neonatal Medicine - CME CNE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40th Annual Neonatology Symposium - Advances and Controversies in Neonatal Medicine - CME CNE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07:15</w:t>
      </w:r>
      <w:r w:rsidRPr="00145184" w:rsidR="00A17BBD">
        <w:t xml:space="preserve"> November 11, 2021</w:t>
      </w:r>
      <w:r w:rsidR="00BC157D">
        <w:t xml:space="preserve"> </w:t>
      </w:r>
      <w:r w:rsidR="00A41F81">
        <w:t xml:space="preserve"> - </w:t>
      </w:r>
      <w:r w:rsidR="00A41F81">
        <w:t>03:30 November, 12, 2021</w:t>
      </w:r>
      <w:r>
        <w:fldChar w:fldCharType="begin"/>
      </w:r>
      <w:r>
        <w:instrText xml:space="preserve"> IF </w:instrText>
      </w:r>
      <w:r>
        <w:instrText>"</w:instrText>
      </w:r>
      <w:r>
        <w:instrText>Drury Plaza Hotel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Drury Plaza</w:instrText>
      </w:r>
      <w:r w:rsidR="00442B21">
        <w:instrText xml:space="preserve"> Hotel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Drury Plaza</w:t>
      </w:r>
      <w:r w:rsidR="00442B21">
        <w:t xml:space="preserve"> Hotel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13.00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12.50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bCs/>
        </w:rPr>
        <w:t>Vanderbilt University Medical Center, Nursing Education and Professional Development, is accredited as a provider of</w:t>
      </w:r>
      <w:r>
        <w:rPr>
          <w:bCs/>
        </w:rPr>
        <w:t xml:space="preserve"> </w:t>
      </w:r>
      <w:r w:rsidRPr="00D004FB">
        <w:rPr>
          <w:bCs/>
        </w:rPr>
        <w:t>nursing continuing professional development by the American Nurses Credentialing Center’s Commission on Accreditation.</w:t>
      </w:r>
    </w:p>
    <w:p w:rsidR="00D004F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072CAB">
        <w:rPr>
          <w:bCs/>
        </w:rPr>
        <w:fldChar w:fldCharType="begin"/>
      </w:r>
      <w:r w:rsidR="00072CAB">
        <w:rPr>
          <w:bCs/>
        </w:rPr>
        <w:instrText xml:space="preserve"> IF </w:instrText>
      </w:r>
      <w:r w:rsidR="00072CAB">
        <w:rPr>
          <w:bCs/>
        </w:rPr>
        <w:instrText>0.00</w:instrText>
      </w:r>
      <w:r w:rsidR="00072CAB">
        <w:rPr>
          <w:bCs/>
        </w:rPr>
        <w:instrText xml:space="preserve"> &gt; 0 "</w:instrText>
      </w:r>
      <w:r w:rsidRPr="00072CAB" w:rsid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13.00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13.00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13.00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12.50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instrText>12.50</w:instrText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 w:rsidR="00481AB5">
        <w:rPr>
          <w:bCs/>
        </w:rPr>
        <w:t xml:space="preserve">This activity is designated to award a maximum of </w:t>
      </w:r>
      <w:r w:rsidR="00481AB5">
        <w:rPr>
          <w:bCs/>
        </w:rPr>
        <w:t>12.50</w:t>
      </w:r>
      <w:r w:rsidR="00481AB5">
        <w:rPr>
          <w:bCs/>
        </w:rPr>
        <w:t xml:space="preserve"> ANCC contact hour(s).</w:t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Describe and discuss pathophysiology and management of congenital heart disease, neonatal acute kidney injury, neonatal lung disease, and extreme prematurity.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neonatal nutrition and its effects on long-term outcomes of premature infants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differential diagnoses of challenging neonatal radiologic case studies.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Describe and discuss bioethics and shared decision making in the NICU.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Describe and discuss advances in care of neonates with cleft lip and palate.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pathophysiology and management of congenital heart disease, neonatal acute kidney injury, neonatal lung disease, and extreme prematurity.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neonatal nutrition and its effects on long-term outcomes of premature infants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differential diagnoses of challenging neonatal radiologic case studies.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Describe and discuss bioethics and shared decision making in the NICU.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Describe and discuss advances in care of neonates with cleft lip and palate.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pathophysiology and management of congenital heart disease, neonatal acute kidney injury, neonatal lung disease, and extreme prematurity.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neonatal nutrition and its effects on long-term outcomes of premature infants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differential diagnoses of challenging neonatal radiologic case studies.</w:t>
      </w:r>
    </w:p>
    <w:p w:rsidR="00F46F37" w:rsidP="00481AB5">
      <w:pPr>
        <w:contextualSpacing/>
        <w:rPr>
          <w:bCs/>
        </w:rPr>
      </w:pPr>
      <w:r>
        <w:rPr>
          <w:bCs/>
        </w:rPr>
        <w:t>4 Describe and discuss bioethics and shared decision making in the NICU.</w:t>
      </w:r>
    </w:p>
    <w:p w:rsidR="00F46F37" w:rsidP="00481AB5">
      <w:pPr>
        <w:contextualSpacing/>
        <w:rPr>
          <w:bCs/>
        </w:rPr>
      </w:pPr>
      <w:r>
        <w:rPr>
          <w:bCs/>
        </w:rPr>
        <w:t>5 Describe and discuss advances in care of neonates with cleft lip and palate.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After attending this event, 80% of participants will self-report increased knowledge related to best practices in the care of neonatal patients.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After attending this event, 80% of participants will self-report increased knowledge related to best practices in the care of neonatal patients.</w:instrText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/>
        </w:rPr>
        <w:t>Learning Outcomes</w:t>
      </w:r>
    </w:p>
    <w:p w:rsidR="00CE38A1" w:rsidP="00481AB5">
      <w:pPr>
        <w:contextualSpacing/>
        <w:rPr>
          <w:bCs/>
        </w:rPr>
      </w:pPr>
      <w:r>
        <w:rPr>
          <w:bCs/>
        </w:rPr>
        <w:t>1 After attending this event, 80% of participants will self-report increased knowledge related to best practices in the care of neonatal patients.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Pediatrics, Nursing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Pediatrics, Nursing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Pediatrics, Nursing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Commercial Support - Prolacta</w:instrText>
      </w:r>
    </w:p>
    <w:p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instrText>Commercial Support - Mead Johnson</w:instrText>
      </w:r>
    </w:p>
    <w:p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instrText>Commercial Support - SONPM District</w:instrText>
      </w:r>
    </w:p>
    <w:p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 w:rsidR="00B70A06">
        <w:rPr>
          <w:rFonts w:asciiTheme="minorHAnsi" w:hAnsiTheme="minorHAnsi" w:cstheme="minorHAnsi"/>
          <w:noProof/>
        </w:rPr>
        <w:instrText>Commercial Support</w:instrText>
      </w:r>
      <w:r>
        <w:rPr>
          <w:rFonts w:asciiTheme="minorHAnsi" w:hAnsiTheme="minorHAnsi" w:cstheme="minorHAnsi"/>
        </w:rPr>
        <w:instrText xml:space="preserve"> - Prolacta</w:instrText>
      </w:r>
    </w:p>
    <w:p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instrText>Commercial Support - Mead Johnson</w:instrText>
      </w:r>
    </w:p>
    <w:p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instrText>Commercial Support - SONPM District</w:instrText>
      </w:r>
    </w:p>
    <w:p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t>Commercial Support</w:t>
      </w:r>
      <w:r>
        <w:rPr>
          <w:rFonts w:asciiTheme="minorHAnsi" w:hAnsiTheme="minorHAnsi" w:cstheme="minorHAnsi"/>
        </w:rPr>
        <w:t xml:space="preserve"> - Prolacta</w:t>
      </w:r>
    </w:p>
    <w:p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Commercial Support - Mead Johnson</w:t>
      </w:r>
    </w:p>
    <w:p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Commercial Support - SONPM District</w:t>
      </w:r>
    </w:p>
    <w:p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Nature of Relationship(s) / Name of Ineligible Company(s)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Angie P Tune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Coordinator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- 07/27/2021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English C Flack,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- 07/27/2021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Gabriella L Crane,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- 12/10/2020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John J Reese,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James D Phillips,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- 07/27/2021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Mary Eva E Dye, DNP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Co-Director, Content Expert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- 10/30/2021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M Sucre,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- 07/27/2021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Michael S Golinko,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- 07/28/2021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Joern-Hendrik Weitkamp,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Roche-Consulting Fee-Receiving fees as a consultant for Roche Diagnostics Corporation to help with development of a neonatal sepsis marker.-Assay measuring interleukin-6 in plasma or serum-Sepsis work-up in neonates-Option_1-Option_1-High, since it is a well-established biomarker in sepsis - 07/28/2021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Gloria J Wacks,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- 01/29/2021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Primary Nurse Planner Kerry Copeland, MSN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Brenda Poindexter,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- 09/17/2021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Judy Aschner,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Royalties or Patent Beneficiary-Asklepion (Relationship has ended)|Stocks or stock options, excluding diversified mutual funds-Gilead Sci|Stocks or stock options, excluding diversified mutual funds-T2 Biosystems - 11/05/2021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Anna Penn,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- 05/12/2021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Matthew W Harer,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Tarah Colaizy,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- 08/12/2021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Mark Mercurio,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- 07/29/2021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William M DeVoe,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- 01/11/2021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32885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Angie Tune, Gloria Wacks, Primary Nurse Planner Kerry Copeland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angie.tune@vumc.org, gloria.j.wacks@vumc.org, primarynurseplanner@vumc.org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