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Pr>
          <w:b/>
          <w:sz w:val="16"/>
          <w:szCs w:val="16"/>
        </w:rPr>
        <w:t>V</w:t>
      </w:r>
      <w:r w:rsidRPr="00145184">
        <w:rPr>
          <w:b/>
          <w:sz w:val="16"/>
          <w:szCs w:val="16"/>
        </w:rPr>
        <w:t>anderbilt University Medical Center</w:t>
      </w:r>
      <w:r w:rsidR="007F5842">
        <w:rPr>
          <w:b/>
          <w:sz w:val="16"/>
          <w:szCs w:val="16"/>
        </w:rPr>
        <w:t xml:space="preserve"> </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sidR="002D299C">
        <w:rPr>
          <w:b/>
          <w:noProof/>
          <w:sz w:val="16"/>
          <w:szCs w:val="16"/>
        </w:rPr>
        <w:instrText>Pediatrics</w:instrText>
      </w:r>
      <w:r w:rsidRPr="00145184">
        <w:rPr>
          <w:b/>
          <w:sz w:val="16"/>
          <w:szCs w:val="16"/>
        </w:rPr>
        <w:instrText xml:space="preserve">" </w:instrText>
      </w:r>
      <w:r w:rsidRPr="00145184">
        <w:rPr>
          <w:b/>
          <w:sz w:val="16"/>
          <w:szCs w:val="16"/>
        </w:rPr>
        <w:fldChar w:fldCharType="separate"/>
      </w:r>
      <w:r w:rsidRPr="00145184" w:rsidR="002D299C">
        <w:rPr>
          <w:b/>
          <w:noProof/>
          <w:sz w:val="16"/>
          <w:szCs w:val="16"/>
        </w:rPr>
        <w:t>Pediatrics</w:t>
      </w:r>
      <w:r w:rsidRPr="00145184">
        <w:rPr>
          <w:b/>
          <w:sz w:val="16"/>
          <w:szCs w:val="16"/>
        </w:rPr>
        <w:fldChar w:fldCharType="end"/>
      </w:r>
    </w:p>
    <w:p w:rsidR="00A82C4C" w:rsidRPr="00145184" w:rsidP="00A82C4C">
      <w:pPr>
        <w:rPr>
          <w:b/>
          <w:sz w:val="52"/>
          <w:szCs w:val="52"/>
        </w:rPr>
      </w:pPr>
      <w:r w:rsidRPr="00145184">
        <w:rPr>
          <w:b/>
          <w:noProof/>
          <w:sz w:val="52"/>
          <w:szCs w:val="52"/>
        </w:rPr>
        <w:t>TIPQC -</w:t>
      </w:r>
      <w:r w:rsidRPr="00145184">
        <w:rPr>
          <w:b/>
          <w:sz w:val="52"/>
          <w:szCs w:val="52"/>
        </w:rPr>
        <w:t xml:space="preserve"> Community Resources - ACOG, TNAPP,  &amp; TIPQC Joint Webinar CME</w:t>
      </w:r>
    </w:p>
    <w:p w:rsidR="00BC157D" w:rsidP="00A82C4C">
      <w:r w:rsidRPr="00145184">
        <w:t xml:space="preserve">Date: </w:t>
      </w:r>
      <w:r w:rsidRPr="00145184" w:rsidR="00A17BBD">
        <w:rPr>
          <w:noProof/>
        </w:rPr>
        <w:t>12:00</w:t>
      </w:r>
      <w:r w:rsidRPr="00145184" w:rsidR="00A17BBD">
        <w:t xml:space="preserve"> November 16, 2021</w:t>
      </w:r>
      <w:r>
        <w:t xml:space="preserve"> </w:t>
      </w:r>
      <w:r w:rsidR="00A41F81">
        <w:t xml:space="preserve"> - </w:t>
      </w:r>
      <w:r w:rsidR="00A41F81">
        <w:t>03:00 November, 16, 2021</w:t>
      </w:r>
    </w:p>
    <w:p w:rsidR="00A41F81" w:rsidRPr="00145184" w:rsidP="00A41F81">
      <w:r>
        <w:t xml:space="preserve">Presenter(s): </w:t>
      </w:r>
      <w:r>
        <w:t>Rosemary J Hunter, MD; Jessica L Young, MD; Kim Wilson, MSW; Cristin Q Fritz, MD; Caroline Pullen, MS; Marie Geiser, MSW; Rob Watkins, JD</w:t>
      </w:r>
      <w:r>
        <w:t xml:space="preserve"> | Location: </w:t>
      </w:r>
      <w:r>
        <w:t>Online</w:t>
      </w:r>
    </w:p>
    <w:p w:rsidR="00A82C4C" w:rsidP="00A82C4C"/>
    <w:p w:rsidR="009E5431" w:rsidP="00F547C7">
      <w:pPr>
        <w:rPr>
          <w:b/>
        </w:rPr>
      </w:pPr>
      <w:r>
        <w:rPr>
          <w:b/>
        </w:rPr>
        <w:t>Accreditation</w:t>
      </w:r>
      <w:r w:rsidR="00665369">
        <w:rPr>
          <w:b/>
        </w:rPr>
        <w:t xml:space="preserve"> </w:t>
      </w:r>
    </w:p>
    <w:p w:rsidR="00422C0F" w:rsidRPr="001E6029"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is accredited by the Accreditation Council for Continuing Medical Education (ACCME) to provide continuing medical education for physicians.</w:t>
      </w: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designates this live activity for a maximum 2.5 AMA PRA Category 1 Credit(s)™. Physicians should claim only the credit commensurate with the extent of their participation in the activity.</w:t>
      </w:r>
      <w:r w:rsidR="00972BEC">
        <w:rPr>
          <w:rFonts w:asciiTheme="minorHAnsi" w:hAnsiTheme="minorHAnsi" w:cstheme="minorHAnsi"/>
        </w:rPr>
        <w:fldChar w:fldCharType="begin"/>
      </w:r>
      <w:r w:rsidR="00972BEC">
        <w:rPr>
          <w:rFonts w:asciiTheme="minorHAnsi" w:hAnsiTheme="minorHAnsi" w:cstheme="minorHAnsi"/>
        </w:rPr>
        <w:instrText xml:space="preserve"> IF </w:instrText>
      </w:r>
      <w:r w:rsidR="00972BEC">
        <w:rPr>
          <w:rFonts w:asciiTheme="minorHAnsi" w:hAnsiTheme="minorHAnsi" w:cstheme="minorHAnsi"/>
        </w:rPr>
        <w:instrText>0.00</w:instrText>
      </w:r>
      <w:r w:rsidR="00972BEC">
        <w:rPr>
          <w:rFonts w:asciiTheme="minorHAnsi" w:hAnsiTheme="minorHAnsi" w:cstheme="minorHAnsi"/>
        </w:rPr>
        <w:instrText xml:space="preserve"> &gt; </w:instrText>
      </w:r>
      <w:r w:rsidR="00F57C03">
        <w:rPr>
          <w:rFonts w:asciiTheme="minorHAnsi" w:hAnsiTheme="minorHAnsi" w:cstheme="minorHAnsi"/>
        </w:rPr>
        <w:instrText xml:space="preserve">0 " </w:instrText>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Objectives</w:instrText>
      </w:r>
    </w:p>
    <w:p w:rsidR="007C1D54" w:rsidP="005112FC">
      <w:pPr>
        <w:rPr>
          <w:rFonts w:asciiTheme="minorHAnsi" w:hAnsiTheme="minorHAnsi" w:cstheme="minorHAnsi"/>
        </w:rPr>
      </w:pPr>
      <w:r>
        <w:rPr>
          <w:rFonts w:asciiTheme="minorHAnsi" w:hAnsiTheme="minorHAnsi" w:cstheme="minorHAnsi"/>
        </w:rPr>
        <w:instrText>After participating in this CE activity, learners will be able to (describe and discuss):</w:instrText>
      </w:r>
    </w:p>
    <w:p w:rsidR="007C1D54"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MERGEFIELD Objectives \ * MERGEFORMAT </w:instrText>
      </w:r>
      <w:r>
        <w:rPr>
          <w:rFonts w:asciiTheme="minorHAnsi" w:hAnsiTheme="minorHAnsi" w:cstheme="minorHAnsi"/>
        </w:rPr>
        <w:fldChar w:fldCharType="separate"/>
      </w:r>
      <w:r>
        <w:rPr>
          <w:rFonts w:asciiTheme="minorHAnsi" w:hAnsiTheme="minorHAnsi" w:cstheme="minorHAnsi"/>
        </w:rPr>
        <w:fldChar w:fldCharType="end"/>
      </w:r>
    </w:p>
    <w:p w:rsidR="00422C0F"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Target Audience</w:instrText>
      </w:r>
    </w:p>
    <w:p w:rsidR="007C1D54" w:rsidRPr="00422C0F" w:rsidP="005112FC">
      <w:pPr>
        <w:rPr>
          <w:rFonts w:asciiTheme="minorHAnsi" w:hAnsiTheme="minorHAnsi" w:cstheme="minorHAnsi"/>
        </w:rPr>
      </w:pPr>
      <w:r w:rsidRPr="00422C0F">
        <w:rPr>
          <w:rFonts w:asciiTheme="minorHAnsi" w:hAnsiTheme="minorHAnsi" w:cstheme="minorHAnsi"/>
        </w:rPr>
        <w:fldChar w:fldCharType="begin"/>
      </w:r>
      <w:r w:rsidRPr="00422C0F">
        <w:rPr>
          <w:rFonts w:asciiTheme="minorHAnsi" w:hAnsiTheme="minorHAnsi" w:cstheme="minorHAnsi"/>
        </w:rPr>
        <w:instrText xml:space="preserve">MERGEFIELD Specialties \* MERGEFORMAT </w:instrText>
      </w:r>
      <w:r w:rsidRPr="00422C0F">
        <w:rPr>
          <w:rFonts w:asciiTheme="minorHAnsi" w:hAnsiTheme="minorHAnsi" w:cstheme="minorHAnsi"/>
        </w:rPr>
        <w:fldChar w:fldCharType="separate"/>
      </w:r>
      <w:r w:rsidRPr="00422C0F">
        <w:rPr>
          <w:rFonts w:asciiTheme="minorHAnsi" w:hAnsiTheme="minorHAnsi" w:cstheme="minorHAnsi"/>
        </w:rPr>
        <w:fldChar w:fldCharType="end"/>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Americans with Disabilities Act</w:instrText>
      </w:r>
    </w:p>
    <w:p w:rsidR="006568E1" w:rsidP="005112FC">
      <w:pPr>
        <w:rPr>
          <w:rFonts w:asciiTheme="minorHAnsi" w:hAnsiTheme="minorHAnsi" w:cstheme="minorHAnsi"/>
        </w:rPr>
      </w:pPr>
      <w:r>
        <w:rPr>
          <w:rFonts w:asciiTheme="minorHAnsi" w:hAnsiTheme="minorHAnsi" w:cstheme="minorHAnsi"/>
        </w:rPr>
        <w:instrTex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 ""</w:instrText>
      </w:r>
      <w:r w:rsidR="00F57C03">
        <w:rPr>
          <w:rFonts w:asciiTheme="minorHAnsi" w:hAnsiTheme="minorHAnsi" w:cstheme="minorHAnsi"/>
        </w:rPr>
        <w:instrText xml:space="preserve"> </w:instrText>
      </w:r>
      <w:r w:rsidR="00972BEC">
        <w:rPr>
          <w:rFonts w:asciiTheme="minorHAnsi" w:hAnsiTheme="minorHAnsi" w:cstheme="minorHAnsi"/>
        </w:rPr>
        <w:fldChar w:fldCharType="separate"/>
      </w:r>
      <w:r w:rsidR="00972BEC">
        <w:rPr>
          <w:rFonts w:asciiTheme="minorHAnsi" w:hAnsiTheme="minorHAnsi" w:cstheme="minorHAnsi"/>
        </w:rPr>
        <w:fldChar w:fldCharType="end"/>
      </w:r>
    </w:p>
    <w:p w:rsidR="006568E1" w:rsidP="005112FC">
      <w:pPr>
        <w:rPr>
          <w:rFonts w:asciiTheme="minorHAnsi" w:hAnsiTheme="minorHAnsi" w:cstheme="minorHAnsi"/>
        </w:rPr>
      </w:pPr>
    </w:p>
    <w:p w:rsidR="00310A42" w:rsidRPr="001E6029" w:rsidP="005112FC">
      <w:pPr>
        <w:rPr>
          <w:rFonts w:asciiTheme="minorHAnsi" w:hAnsiTheme="minorHAnsi" w:cstheme="minorHAnsi"/>
        </w:rPr>
      </w:pPr>
      <w:r>
        <w:rPr>
          <w:rFonts w:asciiTheme="minorHAnsi" w:hAnsiTheme="minorHAnsi" w:cstheme="minorHAnsi"/>
          <w:b/>
        </w:rPr>
        <w:t>Commercial Support</w:t>
      </w:r>
    </w:p>
    <w:p w:rsidR="0064092A"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w:instrText>
      </w:r>
      <w:r w:rsidR="00DB0BA9">
        <w:rPr>
          <w:rFonts w:asciiTheme="minorHAnsi" w:hAnsiTheme="minorHAnsi" w:cstheme="minorHAnsi"/>
        </w:rPr>
        <w:instrText>This activity received no commercial support.</w:instrText>
      </w:r>
      <w:r w:rsidR="00DE2323">
        <w:rPr>
          <w:rFonts w:asciiTheme="minorHAnsi" w:hAnsiTheme="minorHAnsi" w:cstheme="minorHAnsi"/>
        </w:rPr>
        <w:instrText>"</w:instrText>
      </w:r>
      <w:r w:rsidR="00DB0BA9">
        <w:rPr>
          <w:rFonts w:asciiTheme="minorHAnsi" w:hAnsiTheme="minorHAnsi" w:cstheme="minorHAnsi"/>
        </w:rPr>
        <w:instrText xml:space="preserve"> </w:instrText>
      </w:r>
      <w:r w:rsidR="00DB0BA9">
        <w:rPr>
          <w:rFonts w:asciiTheme="minorHAnsi" w:hAnsiTheme="minorHAnsi" w:cstheme="minorHAnsi"/>
        </w:rPr>
        <w:fldChar w:fldCharType="begin"/>
      </w:r>
      <w:r w:rsidR="00DB0BA9">
        <w:rPr>
          <w:rFonts w:asciiTheme="minorHAnsi" w:hAnsiTheme="minorHAnsi" w:cstheme="minorHAnsi"/>
        </w:rPr>
        <w:instrText xml:space="preserve"> MERGEFIELD CommercialSupport \* MERGEFORMAT </w:instrText>
      </w:r>
      <w:r w:rsidR="00DB0BA9">
        <w:rPr>
          <w:rFonts w:asciiTheme="minorHAnsi" w:hAnsiTheme="minorHAnsi" w:cstheme="minorHAnsi"/>
        </w:rPr>
        <w:fldChar w:fldCharType="separate"/>
      </w:r>
      <w:r w:rsidR="00DB0BA9">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sidR="00DB0BA9">
        <w:rPr>
          <w:rFonts w:asciiTheme="minorHAnsi" w:hAnsiTheme="minorHAnsi" w:cstheme="minorHAnsi"/>
        </w:rPr>
        <w:t>This activity received no commercial support.</w:t>
      </w:r>
      <w:r>
        <w:rPr>
          <w:rFonts w:asciiTheme="minorHAnsi" w:hAnsiTheme="minorHAnsi" w:cstheme="minorHAnsi"/>
        </w:rPr>
        <w:fldChar w:fldCharType="end"/>
      </w:r>
    </w:p>
    <w:p w:rsidR="00B40F5B" w:rsidP="005112FC">
      <w:pPr>
        <w:rPr>
          <w:rFonts w:asciiTheme="minorHAnsi" w:hAnsiTheme="minorHAnsi" w:cstheme="minorHAnsi"/>
          <w:b/>
        </w:rPr>
      </w:pPr>
    </w:p>
    <w:p w:rsidR="009F757B" w:rsidRPr="00F547C7" w:rsidP="005112FC">
      <w:pPr>
        <w:rPr>
          <w:rFonts w:asciiTheme="minorHAnsi" w:hAnsiTheme="minorHAnsi" w:cstheme="minorHAnsi"/>
          <w:b/>
        </w:rPr>
      </w:pPr>
      <w:r w:rsidRPr="00F547C7">
        <w:rPr>
          <w:rFonts w:asciiTheme="minorHAnsi" w:hAnsiTheme="minorHAnsi" w:cstheme="minorHAnsi"/>
          <w:b/>
        </w:rPr>
        <w:t>Financial Disclosures</w:t>
      </w:r>
    </w:p>
    <w:p w:rsidR="009F757B" w:rsidP="005112FC">
      <w:pPr>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aculty and planners </w:t>
      </w:r>
      <w:r w:rsidR="00E86F12">
        <w:rPr>
          <w:rFonts w:asciiTheme="minorHAnsi" w:hAnsiTheme="minorHAnsi" w:cstheme="minorHAnsi"/>
        </w:rPr>
        <w:t xml:space="preserve">for this event </w:t>
      </w:r>
      <w:r>
        <w:rPr>
          <w:rFonts w:asciiTheme="minorHAnsi" w:hAnsiTheme="minorHAnsi" w:cstheme="minorHAnsi"/>
        </w:rPr>
        <w:t>have the following disclosures:</w:t>
      </w:r>
    </w:p>
    <w:p w:rsidR="009D2CEC" w:rsidP="005112FC">
      <w:pPr>
        <w:rPr>
          <w:rFonts w:asciiTheme="minorHAnsi" w:hAnsiTheme="minorHAnsi" w:cstheme="minorHAnsi"/>
        </w:rPr>
      </w:pPr>
      <w:bookmarkStart w:id="0" w:name="_GoBack"/>
      <w:bookmarkEnd w:id="0"/>
      <w:r>
        <w:rPr>
          <w:rFonts w:asciiTheme="minorHAnsi" w:hAnsiTheme="minorHAnsi" w:cstheme="minorHAnsi"/>
        </w:rPr>
        <w:t>Vanderbilt University Medical Center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Barker,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Compton,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 Guttentag,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Invited speaker to discuss my research at a meeting of the Novartis research institute in Boston in June of 2019. -My only relationship is that I presented my research. -My laboratory-based research does not involve any product or device or service relevant to Novartis. Novartis did not review my slides nor did they have a right to the content of my slides. They recorded my talk for distribution within their system.-There is no product or device or service involved.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Cristin Q Fritz,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Marie Geiser,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Rosemary J Hunter,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Pullen,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 Watkins,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funds-Pfizer-Relationship_has_ended - 10/28/2021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 Wilson,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L Young,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- 10/08/2021</w:t>
            </w:r>
          </w:p>
        </w:tc>
      </w:tr>
    </w:tbl>
    <w:p>
      <w:pPr>
        <w:bidi w:val="0"/>
        <w:spacing w:after="280" w:afterAutospacing="1"/>
        <w:rPr>
          <w:rtl w:val="0"/>
        </w:rPr>
      </w:pPr>
    </w:p>
    <w:p w:rsidR="00A82C4C" w:rsidRPr="00145184" w:rsidP="00A82C4C">
      <w:r>
        <w:pict>
          <v:rect id="_x0000_i1025" style="height:1.5pt;width:0" o:hralign="center" o:hrstd="t" o:hr="t" fillcolor="#a0a0a0" stroked="f"/>
        </w:pict>
      </w:r>
    </w:p>
    <w:p w:rsidR="00A82C4C" w:rsidRPr="00145184" w:rsidP="00A82C4C">
      <w:pPr>
        <w:rPr>
          <w:color w:val="000000" w:themeColor="text1"/>
          <w:sz w:val="52"/>
          <w:szCs w:val="52"/>
        </w:rPr>
      </w:pPr>
      <w:r w:rsidRPr="00145184">
        <w:rPr>
          <w:noProof/>
          <w:color w:val="000000" w:themeColor="text1"/>
          <w:sz w:val="52"/>
          <w:szCs w:val="52"/>
        </w:rPr>
        <w:t>53237</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Pr>
          <w:rFonts w:eastAsia="Times New Roman"/>
          <w:b/>
          <w:bCs/>
          <w:color w:val="000000" w:themeColor="text1"/>
        </w:rPr>
        <w:t>Don’t</w:t>
      </w:r>
      <w:r w:rsidRPr="00145184">
        <w:rPr>
          <w:rFonts w:eastAsia="Times New Roman"/>
          <w:b/>
          <w:bCs/>
          <w:color w:val="000000" w:themeColor="text1"/>
        </w:rPr>
        <w:t xml:space="preserve">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A82C4C">
      <w:pPr>
        <w:rPr>
          <w:b/>
          <w:color w:val="000000" w:themeColor="text1"/>
        </w:rPr>
      </w:pPr>
    </w:p>
    <w:p w:rsidR="00A82C4C" w:rsidRPr="00145184" w:rsidP="00B45799">
      <w:pPr>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A82C4C">
      <w:pPr>
        <w:jc w:val="center"/>
      </w:pPr>
      <w:r>
        <w:rPr>
          <w:noProof/>
        </w:rPr>
        <w:t>Steven Compton</w:t>
      </w:r>
    </w:p>
    <w:p w:rsidR="00A82C4C" w:rsidP="00A82C4C">
      <w:pPr>
        <w:jc w:val="center"/>
        <w:rPr>
          <w:noProof/>
        </w:rPr>
      </w:pPr>
      <w:r>
        <w:rPr>
          <w:noProof/>
        </w:rPr>
        <w:t>steven.c</w:t>
      </w:r>
      <w:r>
        <w:rPr>
          <w:noProof/>
        </w:rPr>
        <w:t>.compton@vumc.org</w:t>
      </w:r>
    </w:p>
    <w:p w:rsidR="009B4F1A" w:rsidRPr="009B4F1A" w:rsidP="00A82C4C">
      <w:pPr>
        <w:jc w:val="center"/>
        <w:rPr>
          <w:rStyle w:val="Hyperlink"/>
          <w:color w:val="auto"/>
          <w:u w:val="none"/>
        </w:rP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Krentz, Sarah</cp:lastModifiedBy>
  <cp:revision>2</cp:revision>
  <dcterms:created xsi:type="dcterms:W3CDTF">2021-10-22T15:16:00Z</dcterms:created>
  <dcterms:modified xsi:type="dcterms:W3CDTF">2021-10-22T15:16:00Z</dcterms:modified>
</cp:coreProperties>
</file>