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Colm Cunningham- 1/14/2022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Colm Cunningham- 1/14/2022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January 14, 2022</w:t>
      </w:r>
      <w:r w:rsidR="00BC157D">
        <w:t xml:space="preserve"> </w:t>
      </w:r>
      <w:r w:rsidR="00A41F81">
        <w:t xml:space="preserve"> - </w:t>
      </w:r>
      <w:r w:rsidR="00A41F81">
        <w:t>01:00 January, 14,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Describe basic mechanisms by which systemic inflammatory events communicate with the brain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Detail examples of animal model systems that illustrate the increased vulnerability of the degenerating brain to such systemic inflammatory events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Outline, in broad terms, putative inflammatory and bioenergetic mechanisms for acute brain dysfunction during acute illness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Describe basic mechanisms by which systemic inflammatory events communicate with the brain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Detail examples of animal model systems that illustrate the increased vulnerability of the degenerating brain to such systemic inflammatory events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Outline, in broad terms, putative inflammatory and bioenergetic mechanisms for acute brain dysfunction during acute illness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Describe basic mechanisms by which systemic inflammatory events communicate with the brain</w:t>
      </w:r>
    </w:p>
    <w:p w:rsidR="00F46F37" w:rsidP="00481AB5">
      <w:pPr>
        <w:contextualSpacing/>
        <w:rPr>
          <w:bCs/>
        </w:rPr>
      </w:pPr>
      <w:r>
        <w:rPr>
          <w:bCs/>
        </w:rPr>
        <w:t>2 (APA) Detail examples of animal model systems that illustrate the increased vulnerability of the degenerating brain to such systemic inflammatory events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Outline, in broad terms, putative inflammatory and bioenergetic mechanisms for acute brain dysfunction during acute illness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Colm Cunningham,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etc.-Exalys Therapeutics|Independent Contractor (included contracted research)-IONIS therapeutics - 01/05/2022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