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Bennett Landman - 4/8/2022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Bennett Landman - 4/8/2022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April 8, 2022</w:t>
      </w:r>
      <w:r w:rsidR="00BC157D">
        <w:t xml:space="preserve"> </w:t>
      </w:r>
      <w:r w:rsidR="00A41F81">
        <w:t xml:space="preserve"> - </w:t>
      </w:r>
      <w:r w:rsidR="00A41F81">
        <w:t>01:00 April, 8,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merging diffusion MRI modeling techniques used in Alzheimer’s disease research.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Recognize the importance of how scanning hardware and protocol impact derived diffusion measures.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Summarize challenges in integrating multi-site diffusion MRI into quantitative analysis.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Discuss approaches for harmonizing diffusion MRI data in multi-site studies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merging diffusion MRI modeling techniques used in Alzheimer’s disease research.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Recognize the importance of how scanning hardware and protocol impact derived diffusion measures.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Summarize challenges in integrating multi-site diffusion MRI into quantitative analysis.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Discuss approaches for harmonizing diffusion MRI data in multi-site studies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merging diffusion MRI modeling techniques used in Alzheimer’s disease research.</w:t>
      </w:r>
    </w:p>
    <w:p w:rsidR="00F46F37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2 Recognize the importance of how scanning hardware and protocol impact derived diffusion measures.</w:t>
      </w:r>
    </w:p>
    <w:p w:rsidR="00F46F37" w:rsidP="00481AB5">
      <w:pPr>
        <w:contextualSpacing/>
        <w:rPr>
          <w:bCs/>
        </w:rPr>
      </w:pPr>
      <w:r>
        <w:rPr>
          <w:bCs/>
        </w:rPr>
        <w:t>3 Summarize challenges in integrating multi-site diffusion MRI into quantitative analysis.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4 Discuss approaches for harmonizing diffusion MRI data in multi-site studies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Bennett Landman,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- 02/16/2022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53515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