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Geriatric Case Conference - 5/13/2022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Geriatric Case Conference - 5/13/2022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May 13, 2022</w:t>
      </w:r>
      <w:r w:rsidR="00BC157D">
        <w:t xml:space="preserve"> </w:t>
      </w:r>
      <w:r w:rsidR="00A41F81">
        <w:t xml:space="preserve"> - </w:t>
      </w:r>
      <w:r w:rsidR="00A41F81">
        <w:t>01:00 May, 13,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cognition in geriatric depression and differentiate from dementia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Discuss subjective cognitive decline in aging and as an indicator of Alzheimer’s Disease risk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Explain subjective cognitive changes seen in post-chemotherapy cancer survivors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cognition in geriatric depression and differentiate from dementia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Discuss subjective cognitive decline in aging and as an indicator of Alzheimer’s Disease risk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Explain subjective cognitive changes seen in post-chemotherapy cancer survivors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cognition in geriatric depression and differentiate from dementia</w:t>
      </w:r>
    </w:p>
    <w:p w:rsidR="00F46F37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2 Discuss subjective cognitive decline in aging and as an indicator of Alzheimer’s Disease risk</w:t>
      </w:r>
    </w:p>
    <w:p w:rsidR="00F46F37" w:rsidP="00481AB5">
      <w:pPr>
        <w:contextualSpacing/>
        <w:rPr>
          <w:bCs/>
        </w:rPr>
      </w:pPr>
      <w:r>
        <w:rPr>
          <w:bCs/>
        </w:rPr>
        <w:t>3 Explain subjective cognitive changes seen in post-chemotherapy cancer survivors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Kimberly Albert,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Sarah M Szymkowicz,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- 03/28/2022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53520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