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23642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Developmental Medicine Conference -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Developmental Medicine Conference - CME/ MM&amp;I APA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Developmental Medicine Conference -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Developmental Medicine Conference - CME/ MM&amp;I APA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March 30, 2022</w:t>
      </w:r>
      <w:r w:rsidR="00BC157D">
        <w:t xml:space="preserve"> </w:t>
      </w:r>
      <w:r w:rsidR="00A41F81">
        <w:t xml:space="preserve"> - </w:t>
      </w:r>
      <w:r w:rsidR="00A41F81">
        <w:t>01:00 March, 30, 2022</w:t>
      </w:r>
      <w:r>
        <w:fldChar w:fldCharType="begin"/>
      </w:r>
      <w:r>
        <w:instrText xml:space="preserve"> IF </w:instrText>
      </w:r>
      <w:r>
        <w:instrText>"</w:instrText>
      </w:r>
      <w:r>
        <w:instrText>Wadlington Conference Room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Wadlington Conference</w:instrText>
      </w:r>
      <w:r w:rsidR="00442B21">
        <w:instrText xml:space="preserve"> Room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Wadlington Conference</w:t>
      </w:r>
      <w:r w:rsidR="00442B21">
        <w:t xml:space="preserve"> Room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(APA) Identify three characteristics of Somatic Symptom Related Disorders (SSRD)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(APA) Describe at least two elements of best practices in diagnosing SSRD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(APA) Discuss treatment options and motivational factors in SSRDs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(APA) Identify three characteristics of Somatic Symptom Related Disorders (SSRD)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(APA) Describe at least two elements of best practices in diagnosing SSRD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(APA) Discuss treatment options and motivational factors in SSRDs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(APA) Identify three characteristics of Somatic Symptom Related Disorders (SSRD) Diagnoses</w:t>
      </w:r>
    </w:p>
    <w:p w:rsidR="00F46F37" w:rsidP="00481AB5">
      <w:pPr>
        <w:contextualSpacing/>
        <w:rPr>
          <w:bCs/>
        </w:rPr>
      </w:pPr>
      <w:r>
        <w:rPr>
          <w:bCs/>
        </w:rPr>
        <w:t>2 (APA) Describe at least two elements of best practices in diagnosing SSRD</w:t>
      </w:r>
    </w:p>
    <w:p w:rsidR="00F46F37" w:rsidP="00481AB5">
      <w:pPr>
        <w:contextualSpacing/>
        <w:rPr>
          <w:bCs/>
        </w:rPr>
      </w:pPr>
      <w:r>
        <w:rPr>
          <w:bCs/>
        </w:rPr>
        <w:t>3 (APA) Discuss treatment options and motivational factors in SSRDs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Integrity and Independence in accredited continuing education. Any individual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 position to control the content of a CE activity, including but not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limited to planners and faculty, are required to disclose all relevant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relationships with ineligible organizations. All relevant conflicts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Goode,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Laura Corona,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- 10/05/2021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H Goode,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- 11/04/2021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S Spencer,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- 01/07/2022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61870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Melissa Crowell, Elizabeth Rogers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melissa.k.crowell@vumc.org, elizabeth.rogers@vumc.org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