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FD3D76" w:rsidP="00481AB5">
      <w:pPr>
        <w:contextualSpacing/>
        <w:rPr>
          <w:b/>
          <w:sz w:val="18"/>
          <w:szCs w:val="18"/>
        </w:rPr>
      </w:pPr>
      <w:r w:rsidRPr="00FD3D76">
        <w:rPr>
          <w:b/>
          <w:sz w:val="18"/>
          <w:szCs w:val="18"/>
        </w:rPr>
        <w:t>V</w:t>
      </w:r>
      <w:r w:rsidRPr="00FD3D76">
        <w:rPr>
          <w:b/>
          <w:sz w:val="18"/>
          <w:szCs w:val="18"/>
        </w:rPr>
        <w:t>anderbilt University Medical Center</w:t>
      </w:r>
      <w:r w:rsidRPr="00FD3D76" w:rsidR="007F5842">
        <w:rPr>
          <w:b/>
          <w:sz w:val="18"/>
          <w:szCs w:val="18"/>
        </w:rPr>
        <w:t xml:space="preserve"> </w:t>
      </w:r>
    </w:p>
    <w:p w:rsidR="00A82C4C" w:rsidP="00481AB5">
      <w:pPr>
        <w:contextualSpacing/>
        <w:rPr>
          <w:b/>
          <w:sz w:val="18"/>
          <w:szCs w:val="18"/>
        </w:rPr>
      </w:pPr>
      <w:r w:rsidRPr="00FD3D76">
        <w:rPr>
          <w:b/>
          <w:sz w:val="18"/>
          <w:szCs w:val="18"/>
        </w:rPr>
        <w:fldChar w:fldCharType="begin"/>
      </w:r>
      <w:r w:rsidRPr="00FD3D76">
        <w:rPr>
          <w:b/>
          <w:sz w:val="18"/>
          <w:szCs w:val="18"/>
        </w:rPr>
        <w:instrText xml:space="preserve"> IF </w:instrText>
      </w:r>
      <w:r w:rsidRPr="00FD3D76">
        <w:rPr>
          <w:b/>
          <w:sz w:val="18"/>
          <w:szCs w:val="18"/>
        </w:rPr>
        <w:instrText>"</w:instrText>
      </w:r>
      <w:r w:rsidRPr="00FD3D76">
        <w:rPr>
          <w:b/>
          <w:sz w:val="18"/>
          <w:szCs w:val="18"/>
        </w:rPr>
        <w:instrText>"</w:instrText>
      </w:r>
      <w:r w:rsidRPr="00FD3D76">
        <w:rPr>
          <w:b/>
          <w:sz w:val="18"/>
          <w:szCs w:val="18"/>
        </w:rPr>
        <w:instrText xml:space="preserve"> &lt;&gt; "" "</w:instrText>
      </w:r>
      <w:r w:rsidRPr="00FD3D76">
        <w:rPr>
          <w:b/>
          <w:sz w:val="18"/>
          <w:szCs w:val="18"/>
        </w:rPr>
        <w:fldChar w:fldCharType="begin"/>
      </w:r>
      <w:r w:rsidRPr="00FD3D76">
        <w:rPr>
          <w:b/>
          <w:sz w:val="18"/>
          <w:szCs w:val="18"/>
        </w:rPr>
        <w:instrText xml:space="preserve"> MERGEFIELD JointProviderName \* MERGEFORMAT </w:instrText>
      </w:r>
      <w:r w:rsidRPr="00FD3D76">
        <w:rPr>
          <w:b/>
          <w:sz w:val="18"/>
          <w:szCs w:val="18"/>
        </w:rPr>
        <w:fldChar w:fldCharType="separate"/>
      </w:r>
      <w:r w:rsidR="00B70A06">
        <w:rPr>
          <w:b/>
          <w:noProof/>
          <w:sz w:val="18"/>
          <w:szCs w:val="18"/>
        </w:rPr>
        <w:instrText>«JointProviderName»</w:instrText>
      </w:r>
      <w:r w:rsidRPr="00FD3D76">
        <w:rPr>
          <w:b/>
          <w:sz w:val="18"/>
          <w:szCs w:val="18"/>
        </w:rPr>
        <w:fldChar w:fldCharType="end"/>
      </w:r>
      <w:r w:rsidRPr="00FD3D76">
        <w:rPr>
          <w:b/>
          <w:sz w:val="18"/>
          <w:szCs w:val="18"/>
        </w:rPr>
        <w:instrText>" "</w:instrText>
      </w:r>
      <w:r w:rsidRPr="00FD3D76">
        <w:rPr>
          <w:b/>
          <w:sz w:val="18"/>
          <w:szCs w:val="18"/>
        </w:rPr>
        <w:instrText xml:space="preserve">" </w:instrText>
      </w:r>
      <w:r w:rsidRPr="00FD3D76" w:rsidR="00442B21">
        <w:rPr>
          <w:b/>
          <w:sz w:val="18"/>
          <w:szCs w:val="18"/>
        </w:rPr>
        <w:fldChar w:fldCharType="separate"/>
      </w:r>
      <w:r w:rsidRPr="00FD3D76">
        <w:rPr>
          <w:b/>
          <w:sz w:val="18"/>
          <w:szCs w:val="18"/>
        </w:rPr>
        <w:fldChar w:fldCharType="end"/>
      </w:r>
    </w:p>
    <w:p w:rsidR="00A74FC1" w:rsidRPr="00A74FC1" w:rsidP="00481AB5">
      <w:pPr>
        <w:contextualSpacing/>
        <w:rPr>
          <w:b/>
          <w:sz w:val="10"/>
          <w:szCs w:val="10"/>
        </w:rPr>
      </w:pPr>
    </w:p>
    <w:p w:rsidR="00A74FC1" w:rsidP="00481AB5">
      <w:pPr>
        <w:contextualSpacing/>
        <w:rPr>
          <w:b/>
          <w:sz w:val="40"/>
          <w:szCs w:val="40"/>
        </w:rPr>
      </w:pPr>
      <w:r w:rsidRPr="00A74FC1">
        <w:rPr>
          <w:b/>
          <w:sz w:val="40"/>
          <w:szCs w:val="40"/>
        </w:rPr>
        <w:fldChar w:fldCharType="begin"/>
      </w:r>
      <w:r w:rsidRPr="00A74FC1">
        <w:rPr>
          <w:b/>
          <w:sz w:val="40"/>
          <w:szCs w:val="40"/>
        </w:rPr>
        <w:instrText xml:space="preserve"> IF </w:instrText>
      </w:r>
      <w:r w:rsidRPr="00A74FC1">
        <w:rPr>
          <w:b/>
          <w:sz w:val="40"/>
          <w:szCs w:val="40"/>
        </w:rPr>
        <w:instrText>"</w:instrText>
      </w:r>
      <w:r w:rsidRPr="00A74FC1">
        <w:rPr>
          <w:b/>
          <w:sz w:val="40"/>
          <w:szCs w:val="40"/>
        </w:rPr>
        <w:instrText>"</w:instrText>
      </w:r>
      <w:r w:rsidRPr="00A74FC1">
        <w:rPr>
          <w:b/>
          <w:sz w:val="40"/>
          <w:szCs w:val="40"/>
        </w:rPr>
        <w:instrText xml:space="preserve"> &lt;&gt; "" "</w:instrText>
      </w:r>
      <w:r w:rsidRPr="00A74FC1">
        <w:rPr>
          <w:b/>
          <w:sz w:val="52"/>
          <w:szCs w:val="52"/>
        </w:rPr>
        <w:fldChar w:fldCharType="begin"/>
      </w:r>
      <w:r w:rsidRPr="00A74FC1">
        <w:rPr>
          <w:b/>
          <w:sz w:val="52"/>
          <w:szCs w:val="52"/>
        </w:rPr>
        <w:instrText xml:space="preserve"> MERGEFIELD ParentName </w:instrText>
      </w:r>
      <w:r>
        <w:rPr>
          <w:b/>
          <w:sz w:val="52"/>
          <w:szCs w:val="52"/>
        </w:rPr>
        <w:fldChar w:fldCharType="separate"/>
      </w:r>
      <w:r w:rsidR="00B70A06">
        <w:rPr>
          <w:b/>
          <w:noProof/>
          <w:sz w:val="52"/>
          <w:szCs w:val="52"/>
        </w:rPr>
        <w:instrText>«ParentName»</w:instrText>
      </w:r>
      <w:r w:rsidRPr="00A74FC1">
        <w:rPr>
          <w:b/>
          <w:sz w:val="52"/>
          <w:szCs w:val="52"/>
        </w:rPr>
        <w:fldChar w:fldCharType="end"/>
      </w:r>
    </w:p>
    <w:p w:rsidR="00B70A06" w:rsidP="00481AB5">
      <w:pPr>
        <w:contextualSpacing/>
        <w:rPr>
          <w:b/>
          <w:noProof/>
          <w:sz w:val="40"/>
          <w:szCs w:val="40"/>
        </w:rPr>
      </w:pPr>
      <w:r>
        <w:rPr>
          <w:b/>
          <w:sz w:val="40"/>
          <w:szCs w:val="40"/>
        </w:rPr>
        <w:fldChar w:fldCharType="begin"/>
      </w:r>
      <w:r>
        <w:rPr>
          <w:b/>
          <w:sz w:val="40"/>
          <w:szCs w:val="40"/>
        </w:rPr>
        <w:instrText xml:space="preserve"> MERGEFIELD EventName </w:instrText>
      </w:r>
      <w:r>
        <w:rPr>
          <w:b/>
          <w:sz w:val="40"/>
          <w:szCs w:val="40"/>
        </w:rPr>
        <w:fldChar w:fldCharType="separate"/>
      </w:r>
      <w:r>
        <w:rPr>
          <w:b/>
          <w:noProof/>
          <w:sz w:val="40"/>
          <w:szCs w:val="40"/>
        </w:rPr>
        <w:instrText>«EventName»</w:instrText>
      </w:r>
      <w:r>
        <w:rPr>
          <w:b/>
          <w:sz w:val="40"/>
          <w:szCs w:val="40"/>
        </w:rPr>
        <w:fldChar w:fldCharType="end"/>
      </w:r>
      <w:r w:rsidRPr="00A74FC1" w:rsidR="00FD3D76">
        <w:rPr>
          <w:b/>
          <w:sz w:val="40"/>
          <w:szCs w:val="40"/>
        </w:rPr>
        <w:instrText>" "</w:instrText>
      </w:r>
      <w:r>
        <w:rPr>
          <w:b/>
          <w:sz w:val="52"/>
          <w:szCs w:val="52"/>
        </w:rPr>
        <w:instrText>VUSM Reunion 2022-CME</w:instrText>
      </w:r>
      <w:r w:rsidRPr="00A74FC1" w:rsidR="00FD3D76">
        <w:rPr>
          <w:b/>
          <w:sz w:val="40"/>
          <w:szCs w:val="40"/>
        </w:rPr>
        <w:instrText>"</w:instrText>
      </w:r>
      <w:r>
        <w:rPr>
          <w:b/>
          <w:sz w:val="40"/>
          <w:szCs w:val="40"/>
        </w:rPr>
        <w:fldChar w:fldCharType="separate"/>
      </w:r>
      <w:r>
        <w:rPr>
          <w:b/>
          <w:sz w:val="52"/>
          <w:szCs w:val="52"/>
        </w:rPr>
        <w:t>VUSM Reunion 2022-CME</w:t>
      </w:r>
      <w:r w:rsidRPr="00A74FC1" w:rsidR="00FD3D76">
        <w:rPr>
          <w:b/>
          <w:sz w:val="40"/>
          <w:szCs w:val="40"/>
        </w:rPr>
        <w:fldChar w:fldCharType="end"/>
      </w:r>
    </w:p>
    <w:p w:rsidR="00A74FC1" w:rsidRPr="00A74FC1" w:rsidP="00481AB5">
      <w:pPr>
        <w:contextualSpacing/>
        <w:rPr>
          <w:bCs/>
          <w:sz w:val="10"/>
          <w:szCs w:val="10"/>
        </w:rPr>
      </w:pPr>
    </w:p>
    <w:p w:rsidR="00C24750" w:rsidP="00481AB5">
      <w:pPr>
        <w:contextualSpacing/>
      </w:pPr>
      <w:r w:rsidRPr="00145184">
        <w:t xml:space="preserve">Date: </w:t>
      </w:r>
      <w:r w:rsidR="00B70A06">
        <w:rPr>
          <w:noProof/>
        </w:rPr>
        <w:t>07:00</w:t>
      </w:r>
      <w:r w:rsidRPr="00145184" w:rsidR="00A17BBD">
        <w:t xml:space="preserve"> October 7, 2022</w:t>
      </w:r>
      <w:r w:rsidR="00BC157D">
        <w:t xml:space="preserve"> </w:t>
      </w:r>
      <w:r w:rsidR="00A41F81">
        <w:t xml:space="preserve"> - </w:t>
      </w:r>
      <w:r w:rsidR="00A41F81">
        <w:t>03:00 October, 7, 2022</w:t>
      </w:r>
      <w:r>
        <w:fldChar w:fldCharType="begin"/>
      </w:r>
      <w:r>
        <w:instrText xml:space="preserve"> IF </w:instrText>
      </w:r>
      <w:r>
        <w:instrText>Other</w:instrText>
      </w:r>
      <w:r>
        <w:instrText xml:space="preserve"> &lt;&gt; "" "</w:instrText>
      </w:r>
    </w:p>
    <w:p w:rsidR="00B70A06" w:rsidP="00481AB5">
      <w:pPr>
        <w:contextualSpacing/>
        <w:rPr>
          <w:noProof/>
        </w:rPr>
      </w:pPr>
      <w:r>
        <w:instrText xml:space="preserve">Location: </w:instrText>
      </w:r>
      <w:r>
        <w:rPr>
          <w:noProof/>
        </w:rPr>
        <w:instrText>Other</w:instrText>
      </w:r>
      <w:r>
        <w:instrText xml:space="preserve">" "" </w:instrText>
      </w:r>
      <w:r w:rsidR="00442B21">
        <w:fldChar w:fldCharType="separate"/>
      </w:r>
    </w:p>
    <w:p w:rsidR="00C24750" w:rsidP="00481AB5">
      <w:pPr>
        <w:contextualSpacing/>
      </w:pPr>
      <w:r>
        <w:t xml:space="preserve">Location: </w:t>
      </w:r>
      <w:r w:rsidR="00B70A06">
        <w:rPr>
          <w:noProof/>
        </w:rPr>
        <w:t>Other</w:t>
      </w:r>
      <w:r>
        <w:fldChar w:fldCharType="end"/>
      </w:r>
    </w:p>
    <w:p w:rsidR="00A82C4C" w:rsidP="00481AB5">
      <w:pPr>
        <w:contextualSpacing/>
      </w:pPr>
    </w:p>
    <w:p w:rsidR="009E5431" w:rsidP="00481AB5">
      <w:pPr>
        <w:contextualSpacing/>
        <w:rPr>
          <w:b/>
        </w:rPr>
      </w:pPr>
      <w:r>
        <w:rPr>
          <w:b/>
        </w:rPr>
        <w:t>Accreditation</w:t>
      </w:r>
    </w:p>
    <w:p w:rsidR="00C24750" w:rsidRPr="00D004FB" w:rsidP="00481AB5">
      <w:pPr>
        <w:contextualSpacing/>
        <w:rPr>
          <w:bCs/>
          <w:sz w:val="10"/>
          <w:szCs w:val="10"/>
        </w:rPr>
      </w:pPr>
    </w:p>
    <w:p w:rsidR="00D004FB" w:rsidP="00481AB5">
      <w:pPr>
        <w:contextualSpacing/>
        <w:rPr>
          <w:rFonts w:cs="Calibri"/>
          <w:sz w:val="21"/>
          <w:szCs w:val="21"/>
        </w:rPr>
      </w:pPr>
      <w:r>
        <w:rPr>
          <w:bCs/>
        </w:rPr>
        <w:fldChar w:fldCharType="begin"/>
      </w:r>
      <w:r>
        <w:rPr>
          <w:bCs/>
        </w:rPr>
        <w:instrText xml:space="preserve"> IF </w:instrText>
      </w:r>
      <w:r>
        <w:rPr>
          <w:bCs/>
        </w:rPr>
        <w:instrText>4.25</w:instrText>
      </w:r>
      <w:r>
        <w:rPr>
          <w:bCs/>
        </w:rPr>
        <w:instrText xml:space="preserve"> &gt; 0 "</w:instrText>
      </w:r>
      <w:r w:rsidRPr="00D004FB">
        <w:rPr>
          <w:rFonts w:cs="Calibri"/>
          <w:sz w:val="21"/>
          <w:szCs w:val="21"/>
        </w:rPr>
        <w:instrText xml:space="preserve"> </w:instrText>
      </w:r>
      <w:r w:rsidRPr="00C62DBF">
        <w:rPr>
          <w:rFonts w:cs="Calibri"/>
          <w:sz w:val="21"/>
          <w:szCs w:val="21"/>
        </w:rPr>
        <w:instrText>Vanderbilt University Medical Center is accredited by the Accreditation Council for</w:instrText>
      </w:r>
      <w:r w:rsidRPr="00C62DBF">
        <w:rPr>
          <w:rFonts w:cs="Calibri"/>
          <w:b/>
          <w:sz w:val="21"/>
          <w:szCs w:val="21"/>
        </w:rPr>
        <w:instrText xml:space="preserve"> </w:instrText>
      </w:r>
      <w:r w:rsidRPr="00C62DBF">
        <w:rPr>
          <w:rFonts w:cs="Calibri"/>
          <w:sz w:val="21"/>
          <w:szCs w:val="21"/>
        </w:rPr>
        <w:instrText>Continuing Medical Education to provide continuing medical education for physicians.</w:instrText>
      </w:r>
    </w:p>
    <w:p w:rsidR="00D004FB" w:rsidP="00481AB5">
      <w:pPr>
        <w:contextualSpacing/>
        <w:rPr>
          <w:rFonts w:cs="Calibri"/>
          <w:sz w:val="21"/>
          <w:szCs w:val="21"/>
        </w:rPr>
      </w:pPr>
    </w:p>
    <w:p w:rsidR="00D004FB" w:rsidP="00481AB5">
      <w:pPr>
        <w:contextualSpacing/>
        <w:rPr>
          <w:bCs/>
        </w:rPr>
      </w:pPr>
      <w:r>
        <w:rPr>
          <w:bCs/>
        </w:rPr>
        <w:instrText xml:space="preserve">" "" </w:instrText>
      </w:r>
      <w:r>
        <w:rPr>
          <w:bCs/>
        </w:rPr>
        <w:fldChar w:fldCharType="separate"/>
      </w:r>
      <w:r w:rsidRPr="00D004FB">
        <w:rPr>
          <w:rFonts w:cs="Calibri"/>
          <w:sz w:val="21"/>
          <w:szCs w:val="21"/>
        </w:rPr>
        <w:t xml:space="preserve"> </w:t>
      </w:r>
      <w:r w:rsidRPr="00C62DBF">
        <w:rPr>
          <w:rFonts w:cs="Calibri"/>
          <w:sz w:val="21"/>
          <w:szCs w:val="21"/>
        </w:rPr>
        <w:t>Vanderbilt University Medical Center is accredited by the Accreditation Council for</w:t>
      </w:r>
      <w:r w:rsidRPr="00C62DBF">
        <w:rPr>
          <w:rFonts w:cs="Calibri"/>
          <w:b/>
          <w:sz w:val="21"/>
          <w:szCs w:val="21"/>
        </w:rPr>
        <w:t xml:space="preserve"> </w:t>
      </w:r>
      <w:r w:rsidRPr="00C62DBF">
        <w:rPr>
          <w:rFonts w:cs="Calibri"/>
          <w:sz w:val="21"/>
          <w:szCs w:val="21"/>
        </w:rPr>
        <w:t>Continuing Medical Education to provide continuing medical education for physicians.</w:t>
      </w:r>
    </w:p>
    <w:p w:rsidR="00D004FB" w:rsidP="00481AB5">
      <w:pPr>
        <w:contextualSpacing/>
        <w:rPr>
          <w:rFonts w:cs="Calibri"/>
          <w:sz w:val="21"/>
          <w:szCs w:val="21"/>
        </w:rPr>
      </w:pPr>
    </w:p>
    <w:p w:rsidP="00481AB5">
      <w:pPr>
        <w:contextualSpacing/>
        <w:rPr>
          <w:bCs/>
        </w:rPr>
      </w:pP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D004FB">
        <w:rPr>
          <w:bCs/>
        </w:rPr>
        <w:instrText>Vanderbilt University Medical Center, Nursing Education and Professional Development, is accredited as a provider of</w:instrText>
      </w:r>
      <w:r>
        <w:rPr>
          <w:bCs/>
        </w:rPr>
        <w:instrText xml:space="preserve"> </w:instrText>
      </w:r>
      <w:r w:rsidRPr="00D004FB">
        <w:rPr>
          <w:bCs/>
        </w:rPr>
        <w:instrText>nursing continuing professional development by the American Nurses Credentialing Center’s Commission on Accreditation.</w:instrText>
      </w:r>
    </w:p>
    <w:p w:rsidR="00D004FB" w:rsidP="00481AB5">
      <w:pPr>
        <w:contextualSpacing/>
        <w:rPr>
          <w:bCs/>
        </w:rPr>
      </w:pPr>
    </w:p>
    <w:p w:rsid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Vanderbilt University Medical Center is approved by the American Psychological Association to sponsor continuing education for psychologists. Vanderbilt University Medical Center maintains responsibility for this program and its content.</w:instrText>
      </w:r>
    </w:p>
    <w:p w:rsidR="00072CAB" w:rsidP="00481AB5">
      <w:pPr>
        <w:contextualSpacing/>
        <w:rPr>
          <w:bCs/>
        </w:rPr>
      </w:pPr>
    </w:p>
    <w:p w:rsidR="00072CAB" w:rsidRP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 xml:space="preserve">Continuing Education Credit: Vanderbilt University Medical Center is not an approved Dental Continuing Education provider and is not able to provide continuing education credit for participation. </w:instrText>
      </w:r>
    </w:p>
    <w:p w:rsidR="00072CAB" w:rsidRPr="00072CAB" w:rsidP="00481AB5">
      <w:pPr>
        <w:contextualSpacing/>
        <w:rPr>
          <w:bCs/>
        </w:rPr>
      </w:pPr>
    </w:p>
    <w:p w:rsidR="00072CAB" w:rsidP="00481AB5">
      <w:pPr>
        <w:contextualSpacing/>
        <w:rPr>
          <w:rStyle w:val="Hyperlink"/>
          <w:b/>
        </w:rPr>
      </w:pPr>
      <w:r w:rsidRPr="00072CAB">
        <w:rPr>
          <w:bCs/>
        </w:rPr>
        <w:instrText>The activity has received pre-approval for credit from the Tennessee Board of Dentistry, however participants seeking continuing education credit must apply to the Tennessee Board of Dentistry using the online form:</w:instrText>
      </w:r>
      <w:r>
        <w:rPr>
          <w:bCs/>
        </w:rPr>
        <w:instrText xml:space="preserve"> </w:instrText>
      </w:r>
      <w:r>
        <w:fldChar w:fldCharType="begin"/>
      </w:r>
      <w:r>
        <w:instrText xml:space="preserve"> HYPERLINK "https://vumc.cloud-cme.com/assets/vumc/pdf/PH-3867%20(COVID19%20Education%20Update%20for%20Dental%20Health%20Professionals).pdf" </w:instrText>
      </w:r>
      <w:r>
        <w:fldChar w:fldCharType="separate"/>
      </w:r>
      <w:r w:rsidRPr="00072CAB">
        <w:rPr>
          <w:rStyle w:val="Hyperlink"/>
          <w:b/>
        </w:rPr>
        <w:instrText>PH-3867 (COVID19 Ed</w:instrText>
      </w:r>
      <w:r w:rsidRPr="00072CAB">
        <w:rPr>
          <w:rStyle w:val="Hyperlink"/>
          <w:b/>
        </w:rPr>
        <w:instrText>u</w:instrText>
      </w:r>
      <w:r w:rsidRPr="00072CAB">
        <w:rPr>
          <w:rStyle w:val="Hyperlink"/>
          <w:b/>
        </w:rPr>
        <w:instrText>cation Update for Dental Health Professionals).pdf</w:instrText>
      </w:r>
      <w:r>
        <w:fldChar w:fldCharType="end"/>
      </w:r>
    </w:p>
    <w:p w:rsidR="00CC208F" w:rsidRPr="00072CAB" w:rsidP="00481AB5">
      <w:pPr>
        <w:contextualSpacing/>
        <w:rPr>
          <w:rStyle w:val="Hyperlink"/>
          <w:bCs/>
        </w:rPr>
      </w:pPr>
    </w:p>
    <w:p w:rsidR="00CC208F" w:rsidP="00481AB5">
      <w:pPr>
        <w:contextualSpacing/>
        <w:rPr>
          <w:b/>
        </w:rPr>
      </w:pPr>
      <w:r>
        <w:rPr>
          <w:bCs/>
        </w:rPr>
        <w:instrText xml:space="preserve">" "" </w:instrText>
      </w:r>
      <w:r>
        <w:rPr>
          <w:bCs/>
        </w:rPr>
        <w:fldChar w:fldCharType="separate"/>
      </w:r>
      <w:r>
        <w:rPr>
          <w:bCs/>
        </w:rPr>
        <w:fldChar w:fldCharType="end"/>
      </w:r>
      <w:r>
        <w:rPr>
          <w:b/>
        </w:rPr>
        <w:t>Credit Designation</w:t>
      </w:r>
    </w:p>
    <w:p w:rsidR="00CC208F" w:rsidRPr="00CC208F" w:rsidP="00481AB5">
      <w:pPr>
        <w:contextualSpacing/>
        <w:rPr>
          <w:bCs/>
          <w:sz w:val="10"/>
          <w:szCs w:val="10"/>
        </w:rPr>
      </w:pPr>
    </w:p>
    <w:p w:rsidR="00CC208F" w:rsidRPr="00CC208F" w:rsidP="00481AB5">
      <w:pPr>
        <w:contextualSpacing/>
        <w:rPr>
          <w:bCs/>
        </w:rPr>
      </w:pPr>
      <w:r>
        <w:rPr>
          <w:bCs/>
        </w:rPr>
        <w:fldChar w:fldCharType="begin"/>
      </w:r>
      <w:r>
        <w:rPr>
          <w:bCs/>
        </w:rPr>
        <w:instrText xml:space="preserve"> IF </w:instrText>
      </w:r>
      <w:r>
        <w:rPr>
          <w:bCs/>
        </w:rPr>
        <w:instrText>4.25</w:instrText>
      </w:r>
      <w:r>
        <w:rPr>
          <w:bCs/>
        </w:rPr>
        <w:instrText xml:space="preserve"> &gt; 0 "</w:instrText>
      </w:r>
      <w:r w:rsidRPr="00C62DBF">
        <w:rPr>
          <w:rFonts w:cs="Calibri"/>
          <w:sz w:val="21"/>
          <w:szCs w:val="21"/>
        </w:rPr>
        <w:instrText xml:space="preserve">Vanderbilt University Medical Center designates this </w:instrText>
      </w:r>
      <w:r>
        <w:fldChar w:fldCharType="begin"/>
      </w:r>
      <w:r>
        <w:instrText xml:space="preserve"> IF </w:instrText>
      </w:r>
      <w:r>
        <w:instrText>"</w:instrText>
      </w:r>
      <w:r>
        <w:instrText>Live Activity</w:instrText>
      </w:r>
      <w:r>
        <w:instrText>"</w:instrText>
      </w:r>
      <w:r>
        <w:instrText xml:space="preserve"> &lt;&gt; "" "</w:instrText>
      </w:r>
      <w:r>
        <w:instrText>live activity</w:instrText>
      </w:r>
      <w:r>
        <w:instrText xml:space="preserve">" "activity" </w:instrText>
      </w:r>
      <w:r>
        <w:fldChar w:fldCharType="separate"/>
      </w:r>
      <w:r>
        <w:instrText>live activity</w:instrText>
      </w:r>
      <w:r>
        <w:fldChar w:fldCharType="end"/>
      </w:r>
      <w:r w:rsidRPr="00C62DBF">
        <w:instrText xml:space="preserve"> </w:instrText>
      </w:r>
      <w:r w:rsidRPr="00C62DBF">
        <w:rPr>
          <w:rFonts w:cs="Calibri"/>
          <w:sz w:val="21"/>
          <w:szCs w:val="21"/>
        </w:rPr>
        <w:instrText xml:space="preserve">for a maximum of </w:instrText>
      </w:r>
      <w:r>
        <w:rPr>
          <w:rFonts w:cs="Calibri"/>
          <w:sz w:val="21"/>
          <w:szCs w:val="21"/>
        </w:rPr>
        <w:instrText>4.25</w:instrText>
      </w:r>
      <w:r w:rsidRPr="00C62DBF">
        <w:rPr>
          <w:rFonts w:cs="Calibri"/>
          <w:sz w:val="21"/>
          <w:szCs w:val="21"/>
        </w:rPr>
        <w:instrText xml:space="preserve"> </w:instrText>
      </w:r>
      <w:r w:rsidRPr="00C62DBF">
        <w:rPr>
          <w:rFonts w:cs="Calibri"/>
          <w:i/>
          <w:sz w:val="21"/>
          <w:szCs w:val="21"/>
        </w:rPr>
        <w:instrText>AMA PRA Category 1 Credit(s)</w:instrText>
      </w:r>
      <w:r w:rsidRPr="00C62DBF">
        <w:rPr>
          <w:rFonts w:cs="Calibri"/>
          <w:sz w:val="21"/>
          <w:szCs w:val="21"/>
          <w:vertAlign w:val="superscript"/>
        </w:rPr>
        <w:instrText>TM</w:instrText>
      </w:r>
      <w:r w:rsidRPr="00C62DBF">
        <w:rPr>
          <w:rFonts w:cs="Calibri"/>
          <w:sz w:val="21"/>
          <w:szCs w:val="21"/>
        </w:rPr>
        <w:instrText>. Physicians should claim only the credit commensurate with the extent of their participation in the activity</w:instrText>
      </w:r>
    </w:p>
    <w:p w:rsidR="00CC208F" w:rsidRPr="00CC208F" w:rsidP="00481AB5">
      <w:pPr>
        <w:contextualSpacing/>
        <w:rPr>
          <w:bCs/>
        </w:rPr>
      </w:pPr>
    </w:p>
    <w:p w:rsidR="00481AB5" w:rsidP="00481AB5">
      <w:pPr>
        <w:contextualSpacing/>
        <w:rPr>
          <w:bCs/>
        </w:rPr>
      </w:pPr>
      <w:r>
        <w:rPr>
          <w:bCs/>
        </w:rPr>
        <w:instrText xml:space="preserve">" "" </w:instrText>
      </w:r>
      <w:r>
        <w:rPr>
          <w:bCs/>
        </w:rPr>
        <w:fldChar w:fldCharType="separate"/>
      </w:r>
      <w:r w:rsidRPr="00C62DBF">
        <w:rPr>
          <w:rFonts w:cs="Calibri"/>
          <w:sz w:val="21"/>
          <w:szCs w:val="21"/>
        </w:rPr>
        <w:t xml:space="preserve">Vanderbilt University Medical Center designates this </w:t>
      </w:r>
      <w:r>
        <w:t>live activity</w:t>
      </w:r>
      <w:r w:rsidRPr="00C62DBF">
        <w:t xml:space="preserve"> </w:t>
      </w:r>
      <w:r w:rsidRPr="00C62DBF">
        <w:rPr>
          <w:rFonts w:cs="Calibri"/>
          <w:sz w:val="21"/>
          <w:szCs w:val="21"/>
        </w:rPr>
        <w:t xml:space="preserve">for a maximum of </w:t>
      </w:r>
      <w:r>
        <w:rPr>
          <w:rFonts w:cs="Calibri"/>
          <w:sz w:val="21"/>
          <w:szCs w:val="21"/>
        </w:rPr>
        <w:t>4.25</w:t>
      </w:r>
      <w:r w:rsidRPr="00C62DBF">
        <w:rPr>
          <w:rFonts w:cs="Calibri"/>
          <w:sz w:val="21"/>
          <w:szCs w:val="21"/>
        </w:rPr>
        <w:t xml:space="preserve"> </w:t>
      </w:r>
      <w:r w:rsidRPr="00C62DBF">
        <w:rPr>
          <w:rFonts w:cs="Calibri"/>
          <w:i/>
          <w:sz w:val="21"/>
          <w:szCs w:val="21"/>
        </w:rPr>
        <w:t>AMA PRA Category 1 Credit(s)</w:t>
      </w:r>
      <w:r w:rsidRPr="00C62DBF">
        <w:rPr>
          <w:rFonts w:cs="Calibri"/>
          <w:sz w:val="21"/>
          <w:szCs w:val="21"/>
          <w:vertAlign w:val="superscript"/>
        </w:rPr>
        <w:t>TM</w:t>
      </w:r>
      <w:r w:rsidRPr="00C62DBF">
        <w:rPr>
          <w:rFonts w:cs="Calibri"/>
          <w:sz w:val="21"/>
          <w:szCs w:val="21"/>
        </w:rPr>
        <w:t>. Physicians should claim only the credit commensurate with the extent of their participation in the activity</w:t>
      </w:r>
    </w:p>
    <w:p w:rsidR="00CC208F" w:rsidRPr="00CC208F" w:rsidP="00481AB5">
      <w:pPr>
        <w:contextualSpacing/>
        <w:rPr>
          <w:bCs/>
        </w:rPr>
      </w:pPr>
    </w:p>
    <w:p w:rsidP="00481AB5">
      <w:pPr>
        <w:contextualSpacing/>
        <w:rPr>
          <w:bCs/>
        </w:rPr>
      </w:pPr>
      <w:r>
        <w:rPr>
          <w:bCs/>
        </w:rPr>
        <w:fldChar w:fldCharType="end"/>
      </w:r>
      <w:r w:rsidR="00481AB5">
        <w:rPr>
          <w:bCs/>
        </w:rPr>
        <w:fldChar w:fldCharType="begin"/>
      </w:r>
      <w:r w:rsidR="00481AB5">
        <w:rPr>
          <w:bCs/>
        </w:rPr>
        <w:instrText xml:space="preserve"> IF </w:instrText>
      </w:r>
      <w:r w:rsidR="00481AB5">
        <w:rPr>
          <w:bCs/>
        </w:rPr>
        <w:instrText>0.00</w:instrText>
      </w:r>
      <w:r w:rsidR="00481AB5">
        <w:rPr>
          <w:bCs/>
        </w:rPr>
        <w:instrText xml:space="preserve"> &gt; 0 "This activity is designated to award a maximum of </w:instrText>
      </w:r>
      <w:r w:rsidR="00481AB5">
        <w:rPr>
          <w:bCs/>
        </w:rPr>
        <w:fldChar w:fldCharType="begin"/>
      </w:r>
      <w:r w:rsidR="00481AB5">
        <w:rPr>
          <w:bCs/>
        </w:rPr>
        <w:instrText xml:space="preserve"> MERGEFIELD ANCCHoursMax \# 0.00# </w:instrText>
      </w:r>
      <w:r w:rsidR="00481AB5">
        <w:rPr>
          <w:bCs/>
        </w:rPr>
        <w:fldChar w:fldCharType="separate"/>
      </w:r>
      <w:r w:rsidR="00481AB5">
        <w:rPr>
          <w:bCs/>
        </w:rPr>
        <w:fldChar w:fldCharType="end"/>
      </w:r>
      <w:r w:rsidR="00481AB5">
        <w:rPr>
          <w:bCs/>
        </w:rPr>
        <w:instrText xml:space="preserve"> ANCC contact hour(s)."</w:instrText>
      </w:r>
    </w:p>
    <w:p w:rsidR="00481AB5" w:rsidP="00481AB5">
      <w:pPr>
        <w:contextualSpacing/>
        <w:rPr>
          <w:bCs/>
        </w:rPr>
      </w:pPr>
    </w:p>
    <w:p w:rsid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"This activity is designated to award a maximum of </w:instrText>
      </w:r>
      <w:r>
        <w:rPr>
          <w:bCs/>
        </w:rPr>
        <w:fldChar w:fldCharType="begin"/>
      </w:r>
      <w:r>
        <w:rPr>
          <w:bCs/>
        </w:rPr>
        <w:instrText xml:space="preserve"> MERGEFIELD </w:instrText>
      </w:r>
      <w:r>
        <w:rPr>
          <w:bCs/>
        </w:rPr>
        <w:instrText>APAHoursMax \# 0.00#</w:instrText>
      </w:r>
      <w:r>
        <w:rPr>
          <w:bCs/>
        </w:rPr>
        <w:instrText xml:space="preserve"> </w:instrText>
      </w:r>
      <w:r>
        <w:rPr>
          <w:bCs/>
        </w:rPr>
        <w:fldChar w:fldCharType="separate"/>
      </w:r>
      <w:r>
        <w:rPr>
          <w:bCs/>
        </w:rPr>
        <w:fldChar w:fldCharType="end"/>
      </w:r>
      <w:r>
        <w:rPr>
          <w:bCs/>
        </w:rPr>
        <w:instrText xml:space="preserve"> APA CE credit(s).</w:instrText>
      </w:r>
    </w:p>
    <w:p w:rsidR="006959B0" w:rsidP="00481AB5">
      <w:pPr>
        <w:contextualSpacing/>
        <w:rPr>
          <w:bCs/>
        </w:rPr>
      </w:pPr>
    </w:p>
    <w:p w:rsidR="00CE38A1" w:rsidRP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w:instrText>
      </w:r>
      <w:r>
        <w:rPr>
          <w:bCs/>
        </w:rPr>
        <w:instrText>1 Understand the remote origins of bioterrorism in pre-modern times including examples</w:instrText>
      </w:r>
    </w:p>
    <w:p w:rsidR="00F46F37" w:rsidP="00481AB5">
      <w:pPr>
        <w:contextualSpacing/>
        <w:rPr>
          <w:bCs/>
        </w:rPr>
      </w:pPr>
      <w:r w:rsidR="00CE38A1">
        <w:rPr>
          <w:bCs/>
        </w:rPr>
        <w:instrText>2 Develop an understanding of the relationships among human events, natural disasters and bioterrorism, including philosophy and literature</w:instrText>
      </w:r>
    </w:p>
    <w:p w:rsidR="00F46F37" w:rsidP="00481AB5">
      <w:pPr>
        <w:contextualSpacing/>
        <w:rPr>
          <w:bCs/>
        </w:rPr>
      </w:pPr>
      <w:r w:rsidR="00CE38A1">
        <w:rPr>
          <w:bCs/>
        </w:rPr>
        <w:instrText>3 Discuss the potential impact of molecular technology on the possibilities for bioterrorism</w:instrText>
      </w:r>
    </w:p>
    <w:p w:rsidR="00F46F37" w:rsidP="00481AB5">
      <w:pPr>
        <w:contextualSpacing/>
        <w:rPr>
          <w:bCs/>
        </w:rPr>
      </w:pPr>
      <w:r w:rsidR="00CE38A1">
        <w:rPr>
          <w:bCs/>
        </w:rPr>
        <w:instrText>4 Discuss the principal candidate organisms for adaptation to bioterror weapons</w:instrText>
      </w:r>
    </w:p>
    <w:p w:rsidR="00F46F37" w:rsidP="00481AB5">
      <w:pPr>
        <w:contextualSpacing/>
        <w:rPr>
          <w:bCs/>
        </w:rPr>
      </w:pPr>
      <w:r w:rsidR="00CE38A1">
        <w:rPr>
          <w:bCs/>
        </w:rPr>
        <w:instrText>5 Discuss the principals used to distinguish potential bioterror attacks from naturally occurring epidemics and the pitfalls thereof</w:instrText>
      </w:r>
    </w:p>
    <w:p w:rsidR="00F46F37" w:rsidP="00481AB5">
      <w:pPr>
        <w:contextualSpacing/>
        <w:rPr>
          <w:bCs/>
        </w:rPr>
      </w:pPr>
      <w:r w:rsidR="00CE38A1">
        <w:rPr>
          <w:bCs/>
        </w:rPr>
        <w:instrText>6 Discuss bioterrorism in the context of the present day interconnected planet</w:instrText>
      </w:r>
    </w:p>
    <w:p w:rsidR="00F46F37" w:rsidP="00481AB5">
      <w:pPr>
        <w:contextualSpacing/>
        <w:rPr>
          <w:bCs/>
        </w:rPr>
      </w:pPr>
      <w:r w:rsidR="00CE38A1">
        <w:rPr>
          <w:bCs/>
        </w:rPr>
        <w:instrText xml:space="preserve">7 Understand current status and epidemiology of HIV/AIDS epidemic </w:instrText>
      </w:r>
    </w:p>
    <w:p w:rsidR="00F46F37" w:rsidP="00481AB5">
      <w:pPr>
        <w:contextualSpacing/>
        <w:rPr>
          <w:bCs/>
        </w:rPr>
      </w:pPr>
      <w:r w:rsidR="00CE38A1">
        <w:rPr>
          <w:bCs/>
        </w:rPr>
        <w:instrText>8 Describe the key advances in the care and management of individuals living with HIV/AIDS</w:instrText>
      </w:r>
    </w:p>
    <w:p w:rsidR="00F46F37" w:rsidP="00481AB5">
      <w:pPr>
        <w:contextualSpacing/>
        <w:rPr>
          <w:bCs/>
        </w:rPr>
      </w:pPr>
      <w:r w:rsidR="00CE38A1">
        <w:rPr>
          <w:bCs/>
        </w:rPr>
        <w:instrText>9 Understand the lessons learned from clinical experience with HIV/AIDS pandemic and possible applications to other existing or emerging diseases</w:instrText>
      </w:r>
    </w:p>
    <w:p w:rsidR="00F46F37" w:rsidP="00481AB5">
      <w:pPr>
        <w:contextualSpacing/>
        <w:rPr>
          <w:bCs/>
        </w:rPr>
      </w:pPr>
      <w:r w:rsidR="00CE38A1">
        <w:rPr>
          <w:bCs/>
        </w:rPr>
        <w:instrText>10 Understand key updates at VUSM/VUMC and how they compare with clinical activities/clinical care/research at other academic medical centers</w:instrText>
      </w:r>
    </w:p>
    <w:p w:rsidR="00F46F37" w:rsidP="00481AB5">
      <w:pPr>
        <w:contextualSpacing/>
        <w:rPr>
          <w:bCs/>
        </w:rPr>
      </w:pPr>
      <w:r w:rsidR="00CE38A1">
        <w:rPr>
          <w:bCs/>
        </w:rPr>
        <w:instrText>11 Describe how to advance a medical career from clinician toward leadership role</w:instrText>
      </w:r>
    </w:p>
    <w:p w:rsidR="00F46F37" w:rsidP="00481AB5">
      <w:pPr>
        <w:contextualSpacing/>
        <w:rPr>
          <w:bCs/>
        </w:rPr>
      </w:pPr>
      <w:r w:rsidR="00CE38A1">
        <w:rPr>
          <w:bCs/>
        </w:rPr>
        <w:instrText>12 Describe methods to avoid burn-out as a physician leader</w:instrText>
      </w:r>
      <w:r w:rsidR="00CE38A1">
        <w:rPr>
          <w:bCs/>
        </w:rPr>
        <w:instrText>"</w:instrText>
      </w:r>
      <w:r w:rsidR="00CE38A1">
        <w:rPr>
          <w:bCs/>
        </w:rPr>
        <w:instrText xml:space="preserve"> &lt;&gt; "" "</w:instrText>
      </w:r>
      <w:r w:rsidR="00CE38A1">
        <w:rPr>
          <w:b/>
        </w:rPr>
        <w:instrText>Objectives</w:instrText>
      </w:r>
    </w:p>
    <w:p w:rsidR="00CE38A1" w:rsidP="00481AB5">
      <w:pPr>
        <w:contextualSpacing/>
        <w:rPr>
          <w:bCs/>
        </w:rPr>
      </w:pPr>
      <w:r w:rsidRPr="00CE38A1">
        <w:rPr>
          <w:bCs/>
        </w:rPr>
        <w:instrText>After participating in this educational activity, you should be able to:</w:instrText>
      </w:r>
    </w:p>
    <w:p w:rsidR="00CE38A1" w:rsidP="00481AB5">
      <w:pPr>
        <w:contextualSpacing/>
        <w:rPr>
          <w:bCs/>
        </w:rPr>
      </w:pPr>
      <w:r>
        <w:rPr>
          <w:bCs/>
        </w:rPr>
        <w:instrText>1 Understand the remote origins of bioterrorism in pre-modern times including examples</w:instrText>
      </w:r>
    </w:p>
    <w:p w:rsidR="00F46F37" w:rsidP="00481AB5">
      <w:pPr>
        <w:contextualSpacing/>
        <w:rPr>
          <w:bCs/>
        </w:rPr>
      </w:pPr>
      <w:r>
        <w:rPr>
          <w:bCs/>
        </w:rPr>
        <w:instrText>2 Develop an understanding of the relationships among human events, natural disasters and bioterrorism, including philosophy and literature</w:instrText>
      </w:r>
    </w:p>
    <w:p w:rsidR="00F46F37" w:rsidP="00481AB5">
      <w:pPr>
        <w:contextualSpacing/>
        <w:rPr>
          <w:bCs/>
        </w:rPr>
      </w:pPr>
      <w:r>
        <w:rPr>
          <w:bCs/>
        </w:rPr>
        <w:instrText>3 Discuss the potential impact of molecular technology on the possibilities for bioterrorism</w:instrText>
      </w:r>
    </w:p>
    <w:p w:rsidR="00F46F37" w:rsidP="00481AB5">
      <w:pPr>
        <w:contextualSpacing/>
        <w:rPr>
          <w:bCs/>
        </w:rPr>
      </w:pPr>
      <w:r>
        <w:rPr>
          <w:bCs/>
        </w:rPr>
        <w:instrText>4 Discuss the principal candidate organisms for adaptation to bioterror weapons</w:instrText>
      </w:r>
    </w:p>
    <w:p w:rsidR="00F46F37" w:rsidP="00481AB5">
      <w:pPr>
        <w:contextualSpacing/>
        <w:rPr>
          <w:bCs/>
        </w:rPr>
      </w:pPr>
      <w:r>
        <w:rPr>
          <w:bCs/>
        </w:rPr>
        <w:instrText>5 Discuss the principals used to distinguish potential bioterror attacks from naturally occurring epidemics and the pitfalls thereof</w:instrText>
      </w:r>
    </w:p>
    <w:p w:rsidR="00F46F37" w:rsidP="00481AB5">
      <w:pPr>
        <w:contextualSpacing/>
        <w:rPr>
          <w:bCs/>
        </w:rPr>
      </w:pPr>
      <w:r>
        <w:rPr>
          <w:bCs/>
        </w:rPr>
        <w:instrText>6 Discuss bioterrorism in the context of the present day interconnected planet</w:instrText>
      </w:r>
    </w:p>
    <w:p w:rsidR="00F46F37" w:rsidP="00481AB5">
      <w:pPr>
        <w:contextualSpacing/>
        <w:rPr>
          <w:bCs/>
        </w:rPr>
      </w:pPr>
      <w:r>
        <w:rPr>
          <w:bCs/>
        </w:rPr>
        <w:instrText xml:space="preserve">7 Understand current status and epidemiology of HIV/AIDS epidemic </w:instrText>
      </w:r>
    </w:p>
    <w:p w:rsidR="00F46F37" w:rsidP="00481AB5">
      <w:pPr>
        <w:contextualSpacing/>
        <w:rPr>
          <w:bCs/>
        </w:rPr>
      </w:pPr>
      <w:r>
        <w:rPr>
          <w:bCs/>
        </w:rPr>
        <w:instrText>8 Describe the key advances in the care and management of individuals living with HIV/AIDS</w:instrText>
      </w:r>
    </w:p>
    <w:p w:rsidR="00F46F37" w:rsidP="00481AB5">
      <w:pPr>
        <w:contextualSpacing/>
        <w:rPr>
          <w:bCs/>
        </w:rPr>
      </w:pPr>
      <w:r>
        <w:rPr>
          <w:bCs/>
        </w:rPr>
        <w:instrText>9 Understand the lessons learned from clinical experience with HIV/AIDS pandemic and possible applications to other existing or emerging diseases</w:instrText>
      </w:r>
    </w:p>
    <w:p w:rsidR="00F46F37" w:rsidP="00481AB5">
      <w:pPr>
        <w:contextualSpacing/>
        <w:rPr>
          <w:bCs/>
        </w:rPr>
      </w:pPr>
      <w:r>
        <w:rPr>
          <w:bCs/>
        </w:rPr>
        <w:instrText>10 Understand key updates at VUSM/VUMC and how they compare with clinical activities/clinical care/research at other academic medical centers</w:instrText>
      </w:r>
    </w:p>
    <w:p w:rsidR="00F46F37" w:rsidP="00481AB5">
      <w:pPr>
        <w:contextualSpacing/>
        <w:rPr>
          <w:bCs/>
        </w:rPr>
      </w:pPr>
      <w:r>
        <w:rPr>
          <w:bCs/>
        </w:rPr>
        <w:instrText>11 Describe how to advance a medical career from clinician toward leadership role</w:instrText>
      </w:r>
    </w:p>
    <w:p w:rsidR="00F46F37" w:rsidP="00481AB5">
      <w:pPr>
        <w:contextualSpacing/>
        <w:rPr>
          <w:bCs/>
        </w:rPr>
      </w:pPr>
      <w:r>
        <w:rPr>
          <w:bCs/>
        </w:rPr>
        <w:instrText>12 Describe methods to avoid burn-out as a physician leader</w:instrText>
      </w:r>
    </w:p>
    <w:p w:rsidR="00B70A06" w:rsidRPr="006959B0" w:rsidP="00481AB5">
      <w:pPr>
        <w:contextualSpacing/>
        <w:rPr>
          <w:bCs/>
          <w:noProof/>
        </w:rPr>
      </w:pPr>
      <w:r>
        <w:rPr>
          <w:bCs/>
        </w:rPr>
        <w:instrText xml:space="preserve">" "" </w:instrText>
      </w:r>
      <w:r w:rsidR="00F46F37">
        <w:rPr>
          <w:bCs/>
        </w:rPr>
        <w:fldChar w:fldCharType="separate"/>
      </w:r>
      <w:r w:rsidR="00CE38A1">
        <w:rPr>
          <w:b/>
        </w:rPr>
        <w:t>Objectives</w:t>
      </w:r>
    </w:p>
    <w:p w:rsidR="00CE38A1" w:rsidP="00481AB5">
      <w:pPr>
        <w:contextualSpacing/>
        <w:rPr>
          <w:bCs/>
        </w:rPr>
      </w:pPr>
      <w:r w:rsidRPr="00CE38A1">
        <w:rPr>
          <w:bCs/>
        </w:rPr>
        <w:t>After participating in this educational activity, you should be able to:</w:t>
      </w:r>
    </w:p>
    <w:p w:rsidR="00CE38A1" w:rsidP="00481AB5">
      <w:pPr>
        <w:contextualSpacing/>
        <w:rPr>
          <w:bCs/>
        </w:rPr>
      </w:pPr>
      <w:r>
        <w:rPr>
          <w:bCs/>
        </w:rPr>
        <w:t>1 Understand the remote origins of bioterrorism in pre-modern times including examples</w:t>
      </w:r>
    </w:p>
    <w:p w:rsidR="00F46F37" w:rsidP="00481AB5">
      <w:pPr>
        <w:contextualSpacing/>
        <w:rPr>
          <w:bCs/>
        </w:rPr>
      </w:pPr>
      <w:r>
        <w:rPr>
          <w:bCs/>
        </w:rPr>
        <w:t>2 Develop an understanding of the relationships among human events, natural disasters and bioterrorism, including philosophy and literature</w:t>
      </w:r>
    </w:p>
    <w:p w:rsidR="00F46F37" w:rsidP="00481AB5">
      <w:pPr>
        <w:contextualSpacing/>
        <w:rPr>
          <w:bCs/>
        </w:rPr>
      </w:pPr>
      <w:r>
        <w:rPr>
          <w:bCs/>
        </w:rPr>
        <w:t>3 Discuss the potential impact of molecular technology on the possibilities for bioterrorism</w:t>
      </w:r>
    </w:p>
    <w:p w:rsidR="00F46F37" w:rsidP="00481AB5">
      <w:pPr>
        <w:contextualSpacing/>
        <w:rPr>
          <w:bCs/>
        </w:rPr>
      </w:pPr>
      <w:r>
        <w:rPr>
          <w:bCs/>
        </w:rPr>
        <w:t>4 Discuss the principal candidate organisms for adaptation to bioterror weapons</w:t>
      </w:r>
    </w:p>
    <w:p w:rsidR="00F46F37" w:rsidP="00481AB5">
      <w:pPr>
        <w:contextualSpacing/>
        <w:rPr>
          <w:bCs/>
        </w:rPr>
      </w:pPr>
      <w:r>
        <w:rPr>
          <w:bCs/>
        </w:rPr>
        <w:t>5 Discuss the principals used to distinguish potential bioterror attacks from naturally occurring epidemics and the pitfalls thereof</w:t>
      </w:r>
    </w:p>
    <w:p w:rsidR="00F46F37" w:rsidP="00481AB5">
      <w:pPr>
        <w:contextualSpacing/>
        <w:rPr>
          <w:bCs/>
        </w:rPr>
      </w:pPr>
      <w:r>
        <w:rPr>
          <w:bCs/>
        </w:rPr>
        <w:t>6 Discuss bioterrorism in the context of the present day interconnected planet</w:t>
      </w:r>
    </w:p>
    <w:p w:rsidR="00F46F37" w:rsidP="00481AB5">
      <w:pPr>
        <w:contextualSpacing/>
        <w:rPr>
          <w:bCs/>
        </w:rPr>
      </w:pPr>
      <w:r>
        <w:rPr>
          <w:bCs/>
        </w:rPr>
        <w:t xml:space="preserve">7 Understand current status and epidemiology of HIV/AIDS epidemic </w:t>
      </w:r>
    </w:p>
    <w:p w:rsidR="00F46F37" w:rsidP="00481AB5">
      <w:pPr>
        <w:contextualSpacing/>
        <w:rPr>
          <w:bCs/>
        </w:rPr>
      </w:pPr>
      <w:r>
        <w:rPr>
          <w:bCs/>
        </w:rPr>
        <w:t>8 Describe the key advances in the care and management of individuals living with HIV/AIDS</w:t>
      </w:r>
    </w:p>
    <w:p w:rsidR="00F46F37" w:rsidP="00481AB5">
      <w:pPr>
        <w:contextualSpacing/>
        <w:rPr>
          <w:bCs/>
        </w:rPr>
      </w:pPr>
      <w:r>
        <w:rPr>
          <w:bCs/>
        </w:rPr>
        <w:t>9 Understand the lessons learned from clinical experience with HIV/AIDS pandemic and possible applications to other existing or emerging diseases</w:t>
      </w:r>
    </w:p>
    <w:p w:rsidR="00F46F37" w:rsidP="00481AB5">
      <w:pPr>
        <w:contextualSpacing/>
        <w:rPr>
          <w:bCs/>
        </w:rPr>
      </w:pPr>
      <w:r>
        <w:rPr>
          <w:bCs/>
        </w:rPr>
        <w:t>10 Understand key updates at VUSM/VUMC and how they compare with clinical activities/clinical care/research at other academic medical centers</w:t>
      </w:r>
    </w:p>
    <w:p w:rsidR="00F46F37" w:rsidP="00481AB5">
      <w:pPr>
        <w:contextualSpacing/>
        <w:rPr>
          <w:bCs/>
        </w:rPr>
      </w:pPr>
      <w:r>
        <w:rPr>
          <w:bCs/>
        </w:rPr>
        <w:t>11 Describe how to advance a medical career from clinician toward leadership role</w:t>
      </w:r>
    </w:p>
    <w:p w:rsidR="00F46F37" w:rsidP="00481AB5">
      <w:pPr>
        <w:contextualSpacing/>
        <w:rPr>
          <w:bCs/>
        </w:rPr>
      </w:pPr>
      <w:r>
        <w:rPr>
          <w:bCs/>
        </w:rPr>
        <w:t>12 Describe methods to avoid burn-out as a physician leader</w:t>
      </w:r>
    </w:p>
    <w:p w:rsidP="00481AB5">
      <w:pPr>
        <w:contextualSpacing/>
        <w:rPr>
          <w:bCs/>
        </w:rPr>
      </w:pPr>
      <w:r>
        <w:rPr>
          <w:bCs/>
        </w:rPr>
        <w:fldChar w:fldCharType="end"/>
      </w:r>
      <w:r>
        <w:rPr>
          <w:bCs/>
        </w:rPr>
        <w:fldChar w:fldCharType="begin"/>
      </w:r>
      <w:r>
        <w:rPr>
          <w:bCs/>
        </w:rPr>
        <w:instrText xml:space="preserve"> IF </w:instrText>
      </w:r>
      <w:r>
        <w:rPr>
          <w:bCs/>
        </w:rPr>
        <w:instrText>"</w:instrText>
      </w:r>
      <w:r>
        <w:rPr>
          <w:bCs/>
        </w:rPr>
        <w:instrText>"</w:instrText>
      </w:r>
      <w:r>
        <w:rPr>
          <w:bCs/>
        </w:rPr>
        <w:instrText xml:space="preserve"> &lt;&gt; "" "</w:instrText>
      </w:r>
      <w:r>
        <w:rPr>
          <w:b/>
        </w:rPr>
        <w:instrText>Learning Outcomes</w:instrText>
      </w:r>
    </w:p>
    <w:p w:rsidR="00CE38A1" w:rsidP="00481AB5">
      <w:pPr>
        <w:contextualSpacing/>
        <w:rPr>
          <w:bCs/>
        </w:rPr>
      </w:pPr>
      <w:r>
        <w:rPr>
          <w:bCs/>
        </w:rPr>
        <w:fldChar w:fldCharType="begin"/>
      </w:r>
      <w:r>
        <w:rPr>
          <w:bCs/>
        </w:rPr>
        <w:instrText xml:space="preserve"> MERGEFIELD ANCCObjectives </w:instrText>
      </w:r>
      <w:r w:rsidR="00F46F37">
        <w:rPr>
          <w:bCs/>
        </w:rPr>
        <w:fldChar w:fldCharType="separate"/>
      </w:r>
      <w:r w:rsidR="00B70A06">
        <w:rPr>
          <w:bCs/>
          <w:noProof/>
        </w:rPr>
        <w:instrText>«ANCCObjectives»</w:instrText>
      </w:r>
      <w:r>
        <w:rPr>
          <w:bCs/>
        </w:rPr>
        <w:fldChar w:fldCharType="end"/>
      </w:r>
    </w:p>
    <w:p w:rsidR="00B70A06" w:rsidP="00481AB5">
      <w:pPr>
        <w:contextualSpacing/>
        <w:rPr>
          <w:bCs/>
          <w:noProof/>
        </w:rPr>
      </w:pPr>
      <w:r>
        <w:rPr>
          <w:bCs/>
        </w:rPr>
        <w:instrText xml:space="preserve">" "" </w:instrText>
      </w:r>
      <w:r w:rsidR="00F46F37">
        <w:rPr>
          <w:bCs/>
        </w:rPr>
        <w:fldChar w:fldCharType="separate"/>
      </w:r>
      <w:r>
        <w:rPr>
          <w:bCs/>
        </w:rPr>
        <w:fldChar w:fldCharType="end"/>
      </w:r>
      <w:r w:rsidR="00F46F37">
        <w:rPr>
          <w:bCs/>
        </w:rPr>
        <w:fldChar w:fldCharType="begin"/>
      </w:r>
      <w:r w:rsidR="00F46F37">
        <w:rPr>
          <w:bCs/>
        </w:rPr>
        <w:instrText xml:space="preserve"> IF </w:instrText>
      </w:r>
      <w:r w:rsidR="00F46F37">
        <w:rPr>
          <w:bCs/>
        </w:rPr>
        <w:instrText>"</w:instrText>
      </w:r>
      <w:r w:rsidR="00F46F37">
        <w:rPr>
          <w:bCs/>
        </w:rPr>
        <w:instrText>Anesthesiology, Dermatology, Emergency Medicine, Neurology, Pediatrics, Urology, Otolaryngology, Physical Medicine &amp; Rehabilitation, Biochemistry, Biomedical Informatics, Biostatistics, Cell And Developmental Biology, Health Policy, Hearing And Speech Sciences, Medicine, Molecular Physiology &amp;Amp; Biophysics, Obstetrics And Gynecology, Ophthalmology And Visual Sciences, Orthopaedic Surgery And Rehabilitation, Pathology, Microbiology And Immunology, Pharmacology, Psychiatry And Behavioral Sciences, Radiation Oncology, Radiology And Radiological Sciences, Section Of Surgical Sciences, Surgery, Neurological Surgery, Cardiac Surgery, Oral And Maxillofacial Surgery, Plastic Surgery, Pediatric Surgery, Other, Thoracic Surgery, Palliative Care</w:instrText>
      </w:r>
      <w:r w:rsidR="00F46F37">
        <w:rPr>
          <w:bCs/>
        </w:rPr>
        <w:instrText>"</w:instrText>
      </w:r>
      <w:r w:rsidR="00F46F37">
        <w:rPr>
          <w:bCs/>
        </w:rPr>
        <w:instrText xml:space="preserve"> &lt;&gt; "" "</w:instrText>
      </w:r>
      <w:r w:rsidR="00F46F37">
        <w:rPr>
          <w:b/>
        </w:rPr>
        <w:instrText>Target Audience</w:instrText>
      </w:r>
    </w:p>
    <w:p w:rsidR="00F46F37" w:rsidP="00481AB5">
      <w:pPr>
        <w:contextualSpacing/>
        <w:rPr>
          <w:bCs/>
        </w:rPr>
      </w:pPr>
      <w:r>
        <w:rPr>
          <w:bCs/>
        </w:rPr>
        <w:instrText>Anesthesiology, Dermatology, Emergency Medicine, Neurology, Pediatrics, Urology, Otolaryngology, Physical Medicine &amp; Rehabilitation, Biochemistry, Biomedical Informatics, Biostatistics, Cell And Developmental Biology, Health Policy, Hearing And Speech Sciences, Medicine, Molecular Physiology &amp;Amp; Biophysics, Obstetrics And Gynecology, Ophthalmology And Visual Sciences, Orthopaedic Surgery And Rehabilitation, Pathology, Microbiology And Immunology, Pharmacology, Psychiatry And Behavioral Sciences, Radiation Oncology, Radiology And Radiological Sciences, Section Of Surgical Sciences, Surgery, Neurological Surgery, Cardiac Surgery, Oral And Maxillofacial Surgery, Plastic Surgery, Pediatric Surgery, Other, Thoracic Surgery, Palliative Care</w:instrText>
      </w:r>
    </w:p>
    <w:p w:rsidR="00F46F37" w:rsidP="00481AB5">
      <w:pPr>
        <w:contextualSpacing/>
        <w:rPr>
          <w:bCs/>
        </w:rPr>
      </w:pPr>
    </w:p>
    <w:p w:rsidR="00B70A06" w:rsidP="00481AB5">
      <w:pPr>
        <w:contextualSpacing/>
        <w:rPr>
          <w:bCs/>
          <w:noProof/>
        </w:rPr>
      </w:pPr>
      <w:r>
        <w:rPr>
          <w:bCs/>
        </w:rPr>
        <w:instrText xml:space="preserve">" "" </w:instrText>
      </w:r>
      <w:r>
        <w:rPr>
          <w:bCs/>
        </w:rPr>
        <w:fldChar w:fldCharType="separate"/>
      </w:r>
      <w:r w:rsidR="00F46F37">
        <w:rPr>
          <w:b/>
        </w:rPr>
        <w:t>Target Audience</w:t>
      </w:r>
    </w:p>
    <w:p w:rsidR="00F46F37" w:rsidP="00481AB5">
      <w:pPr>
        <w:contextualSpacing/>
        <w:rPr>
          <w:bCs/>
        </w:rPr>
      </w:pPr>
      <w:r>
        <w:rPr>
          <w:bCs/>
        </w:rPr>
        <w:t>Anesthesiology, Dermatology, Emergency Medicine, Neurology, Pediatrics, Urology, Otolaryngology, Physical Medicine &amp; Rehabilitation, Biochemistry, Biomedical Informatics, Biostatistics, Cell And Developmental Biology, Health Policy, Hearing And Speech Sciences, Medicine, Molecular Physiology &amp;Amp; Biophysics, Obstetrics And Gynecology, Ophthalmology And Visual Sciences, Orthopaedic Surgery And Rehabilitation, Pathology, Microbiology And Immunology, Pharmacology, Psychiatry And Behavioral Sciences, Radiation Oncology, Radiology And Radiological Sciences, Section Of Surgical Sciences, Surgery, Neurological Surgery, Cardiac Surgery, Oral And Maxillofacial Surgery, Plastic Surgery, Pediatric Surgery, Other, Thoracic Surgery, Palliative Care</w:t>
      </w:r>
    </w:p>
    <w:p w:rsidR="00F46F37" w:rsidP="00481AB5">
      <w:pPr>
        <w:contextualSpacing/>
        <w:rPr>
          <w:bCs/>
        </w:rPr>
      </w:pPr>
    </w:p>
    <w:p w:rsidP="00481AB5">
      <w:pPr>
        <w:contextualSpacing/>
        <w:rPr>
          <w:bCs/>
        </w:rPr>
      </w:pPr>
      <w:r>
        <w:rPr>
          <w:bCs/>
        </w:rPr>
        <w:fldChar w:fldCharType="end"/>
      </w:r>
      <w:r>
        <w:rPr>
          <w:rFonts w:asciiTheme="minorHAnsi" w:hAnsiTheme="minorHAnsi" w:cstheme="minorHAnsi"/>
          <w:b/>
        </w:rPr>
        <w:t>Americans with Disabilities Act</w:t>
      </w:r>
    </w:p>
    <w:p w:rsidR="00C24750" w:rsidRPr="00F46F37" w:rsidP="00481AB5">
      <w:pPr>
        <w:contextualSpacing/>
        <w:rPr>
          <w:b/>
        </w:rPr>
      </w:pPr>
      <w:r>
        <w:rPr>
          <w:rFonts w:asciiTheme="minorHAnsi" w:hAnsiTheme="minorHAnsi" w:cstheme="minorHAnsi"/>
        </w:rPr>
        <w:t xml:space="preserve">It is the policy of Vanderbilt University Medical Center not to discriminate against any person </w:t>
      </w:r>
      <w:r>
        <w:rPr>
          <w:rFonts w:asciiTheme="minorHAnsi" w:hAnsiTheme="minorHAnsi" w:cstheme="minorHAnsi"/>
        </w:rPr>
        <w:t>on the basis of</w:t>
      </w:r>
      <w:r>
        <w:rPr>
          <w:rFonts w:asciiTheme="minorHAnsi" w:hAnsiTheme="minorHAnsi" w:cstheme="minorHAnsi"/>
        </w:rPr>
        <w:t xml:space="preserve"> disabilities.  If you feel you need services or auxiliary aids mentioned in the Americans with Disabilities Act </w:t>
      </w:r>
      <w:r>
        <w:rPr>
          <w:rFonts w:asciiTheme="minorHAnsi" w:hAnsiTheme="minorHAnsi" w:cstheme="minorHAnsi"/>
        </w:rPr>
        <w:t>in order to</w:t>
      </w:r>
      <w:r>
        <w:rPr>
          <w:rFonts w:asciiTheme="minorHAnsi" w:hAnsiTheme="minorHAnsi" w:cstheme="minorHAnsi"/>
        </w:rPr>
        <w:t xml:space="preserve"> fully participate in this continuing education activity, please contact the Office for Continuous Professional Development (OCPD) to request assistance.</w:t>
      </w:r>
    </w:p>
    <w:p w:rsidR="00C24750" w:rsidRPr="00D004FB" w:rsidP="00481AB5">
      <w:pPr>
        <w:contextualSpacing/>
        <w:rPr>
          <w:bCs/>
        </w:rPr>
      </w:pPr>
    </w:p>
    <w:p w:rsidR="00F46F37" w:rsidRPr="001E6029" w:rsidP="00481AB5">
      <w:pPr>
        <w:contextualSpacing/>
        <w:rPr>
          <w:rFonts w:asciiTheme="minorHAnsi" w:hAnsiTheme="minorHAnsi" w:cstheme="minorHAnsi"/>
        </w:rPr>
      </w:pPr>
      <w:r>
        <w:rPr>
          <w:rFonts w:asciiTheme="minorHAnsi" w:hAnsiTheme="minorHAnsi" w:cstheme="minorHAnsi"/>
          <w:b/>
        </w:rPr>
        <w:t>Commercial Support</w:t>
      </w:r>
    </w:p>
    <w:p w:rsidR="00F46F37" w:rsidP="00481AB5">
      <w:pPr>
        <w:contextualSpacing/>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"This activity received no commercial support." </w:instrText>
      </w:r>
      <w:r>
        <w:rPr>
          <w:rFonts w:asciiTheme="minorHAnsi" w:hAnsiTheme="minorHAnsi" w:cstheme="minorHAnsi"/>
        </w:rPr>
        <w:instrText>"</w:instrText>
      </w:r>
      <w:r>
        <w:rPr>
          <w:rFonts w:asciiTheme="minorHAnsi" w:hAnsiTheme="minorHAnsi" w:cstheme="minorHAnsi"/>
        </w:rPr>
        <w:fldChar w:fldCharType="begin"/>
      </w:r>
      <w:r>
        <w:rPr>
          <w:rFonts w:asciiTheme="minorHAnsi" w:hAnsiTheme="minorHAnsi" w:cstheme="minorHAnsi"/>
        </w:rPr>
        <w:instrText xml:space="preserve"> MERGEFIELD CommercialSupport \* MERGEFORMAT </w:instrText>
      </w:r>
      <w:r>
        <w:rPr>
          <w:rFonts w:asciiTheme="minorHAnsi" w:hAnsiTheme="minorHAnsi" w:cstheme="minorHAnsi"/>
        </w:rPr>
        <w:fldChar w:fldCharType="separate"/>
      </w:r>
      <w:r w:rsidR="00B70A06">
        <w:rPr>
          <w:rFonts w:asciiTheme="minorHAnsi" w:hAnsiTheme="minorHAnsi" w:cstheme="minorHAnsi"/>
          <w:noProof/>
        </w:rPr>
        <w:instrText>«CommercialSupport»</w:instrText>
      </w:r>
      <w:r>
        <w:rPr>
          <w:rFonts w:asciiTheme="minorHAnsi" w:hAnsiTheme="minorHAnsi" w:cstheme="minorHAnsi"/>
        </w:rPr>
        <w:fldChar w:fldCharType="end"/>
      </w:r>
      <w:r>
        <w:rPr>
          <w:rFonts w:asciiTheme="minorHAnsi" w:hAnsiTheme="minorHAnsi" w:cstheme="minorHAnsi"/>
        </w:rPr>
        <w:instrText>"</w:instrText>
      </w:r>
      <w:r>
        <w:rPr>
          <w:rFonts w:asciiTheme="minorHAnsi" w:hAnsiTheme="minorHAnsi" w:cstheme="minorHAnsi"/>
        </w:rPr>
        <w:instrText xml:space="preserve"> </w:instrText>
      </w:r>
      <w:r>
        <w:rPr>
          <w:rFonts w:asciiTheme="minorHAnsi" w:hAnsiTheme="minorHAnsi" w:cstheme="minorHAnsi"/>
        </w:rPr>
        <w:fldChar w:fldCharType="separate"/>
      </w:r>
      <w:r>
        <w:rPr>
          <w:rFonts w:asciiTheme="minorHAnsi" w:hAnsiTheme="minorHAnsi" w:cstheme="minorHAnsi"/>
        </w:rPr>
        <w:t>This activity received no commercial support.</w:t>
      </w:r>
      <w:r>
        <w:rPr>
          <w:rFonts w:asciiTheme="minorHAnsi" w:hAnsiTheme="minorHAnsi" w:cstheme="minorHAnsi"/>
        </w:rPr>
        <w:fldChar w:fldCharType="end"/>
      </w:r>
    </w:p>
    <w:p w:rsidR="00F46F37" w:rsidP="00481AB5">
      <w:pPr>
        <w:contextualSpacing/>
        <w:rPr>
          <w:rFonts w:asciiTheme="minorHAnsi" w:hAnsiTheme="minorHAnsi" w:cstheme="minorHAnsi"/>
        </w:rPr>
      </w:pPr>
    </w:p>
    <w:p w:rsidR="00F46F37" w:rsidP="00481AB5">
      <w:pPr>
        <w:contextualSpacing/>
        <w:rPr>
          <w:rFonts w:asciiTheme="minorHAnsi" w:hAnsiTheme="minorHAnsi" w:cstheme="minorHAnsi"/>
          <w:b/>
          <w:bCs/>
        </w:rPr>
      </w:pPr>
      <w:r>
        <w:rPr>
          <w:rFonts w:asciiTheme="minorHAnsi" w:hAnsiTheme="minorHAnsi" w:cstheme="minorHAnsi"/>
          <w:b/>
          <w:bCs/>
        </w:rPr>
        <w:t>Financial Disclosures</w:t>
      </w:r>
    </w:p>
    <w:p w:rsidR="00F46F37" w:rsidRPr="00F46F37" w:rsidP="00481AB5">
      <w:pPr>
        <w:contextualSpacing/>
        <w:rPr>
          <w:rFonts w:asciiTheme="minorHAnsi" w:hAnsiTheme="minorHAnsi" w:cstheme="minorHAnsi"/>
        </w:rPr>
      </w:pPr>
      <w:r>
        <w:rPr>
          <w:rFonts w:asciiTheme="minorHAnsi" w:hAnsiTheme="minorHAnsi" w:cstheme="minorHAnsi"/>
        </w:rPr>
        <w:t>VUMC CE activities are compliant with the Standards for Integrity and Independence in accredited continuing education. Any individual in a position to control the content of a CE activity, including but not limited to planners and faculty, are required to disclose all relevant financial relationships with ineligible organizations.</w:t>
      </w:r>
    </w:p>
    <w:p w:rsidR="006959B0" w:rsidP="00481AB5">
      <w:pPr>
        <w:contextualSpacing/>
        <w:rPr>
          <w:rFonts w:asciiTheme="minorHAnsi" w:hAnsiTheme="minorHAnsi" w:cstheme="minorHAnsi"/>
        </w:rPr>
      </w:pPr>
      <w:r>
        <w:rPr>
          <w:rFonts w:asciiTheme="minorHAnsi" w:hAnsiTheme="minorHAnsi" w:cstheme="minorHAnsi"/>
        </w:rPr>
        <w:t>All relevant conflicts of interest have been mitigated before this activity started.</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Elena Carro,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 Price,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Woodall,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Jean Anderson,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support-Gilead|Stocks or stock options, excluding diversified mutual funds-AbbVie AbbVie|Stocks or stock options, excluding diversified mutual funds-Merck Inc - 08/02/2022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 R Balser,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etc.-Varian Medical Systems (Relationship has ended) - 08/01/2022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Kathleen R Cho,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Kevin Churchwell,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Aubrey Hough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- 07/29/2022</w:t>
            </w:r>
          </w:p>
        </w:tc>
      </w:tr>
    </w:tbl>
    <w:p w:rsidR="00C24750" w:rsidRPr="00D004FB">
      <w:pPr>
        <w:bidi w:val="0"/>
        <w:spacing w:after="280" w:afterAutospacing="1"/>
        <w:rPr>
          <w:bCs/>
        </w:rPr>
      </w:pPr>
    </w:p>
    <w:p w:rsidR="0064092A" w:rsidP="00481AB5">
      <w:pPr>
        <w:contextualSpacing/>
        <w:rPr>
          <w:rFonts w:asciiTheme="minorHAnsi" w:hAnsiTheme="minorHAnsi" w:cstheme="minorHAnsi"/>
        </w:rPr>
      </w:pPr>
    </w:p>
    <w:p w:rsidR="006959B0" w:rsidRPr="006959B0" w:rsidP="00481AB5">
      <w:pPr>
        <w:contextualSpacing/>
        <w:rPr>
          <w:rFonts w:asciiTheme="minorHAnsi" w:hAnsiTheme="minorHAnsi" w:cstheme="minorHAnsi"/>
          <w:bCs/>
        </w:rPr>
      </w:pPr>
    </w:p>
    <w:p w:rsidR="00A82C4C" w:rsidRPr="00145184" w:rsidP="00481AB5">
      <w:pPr>
        <w:contextualSpacing/>
      </w:pPr>
      <w:r>
        <w:rPr>
          <w:noProof/>
        </w:rPr>
        <w:pict>
          <v:rect id="_x0000_i1025" style="height:0.05pt;mso-height-percent:0;mso-width-percent:0;width:468pt" o:hralign="center" o:hrstd="t" o:hr="t" fillcolor="#a0a0a0" stroked="f"/>
        </w:pict>
      </w:r>
    </w:p>
    <w:p w:rsidR="00A82C4C" w:rsidRPr="00145184" w:rsidP="00481AB5">
      <w:pPr>
        <w:contextualSpacing/>
        <w:rPr>
          <w:color w:val="000000" w:themeColor="text1"/>
          <w:sz w:val="52"/>
          <w:szCs w:val="52"/>
        </w:rPr>
      </w:pPr>
      <w:r w:rsidRPr="00145184">
        <w:rPr>
          <w:color w:val="000000" w:themeColor="text1"/>
          <w:sz w:val="52"/>
          <w:szCs w:val="52"/>
        </w:rPr>
        <w:t>63175</w:t>
      </w:r>
    </w:p>
    <w:p w:rsidR="00A82C4C" w:rsidRPr="00145184" w:rsidP="00481AB5">
      <w:pPr>
        <w:contextualSpacing/>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481AB5">
      <w:pPr>
        <w:contextualSpacing/>
        <w:rPr>
          <w:color w:val="000000" w:themeColor="text1"/>
        </w:rPr>
      </w:pPr>
    </w:p>
    <w:p w:rsidR="00A82C4C" w:rsidRPr="00145184" w:rsidP="00481AB5">
      <w:pPr>
        <w:contextualSpacing/>
        <w:rPr>
          <w:color w:val="000000" w:themeColor="text1"/>
        </w:rPr>
      </w:pPr>
      <w:r w:rsidRPr="00145184">
        <w:rPr>
          <w:b/>
          <w:bCs/>
          <w:color w:val="000000" w:themeColor="text1"/>
        </w:rPr>
        <w:t>To get started setting up a new account:</w:t>
      </w:r>
    </w:p>
    <w:p w:rsidR="00A82C4C" w:rsidRPr="00145184" w:rsidP="00481AB5">
      <w:pPr>
        <w:numPr>
          <w:ilvl w:val="0"/>
          <w:numId w:val="3"/>
        </w:numPr>
        <w:contextualSpacing/>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Don’t have an account?</w:t>
      </w:r>
    </w:p>
    <w:p w:rsidR="00A82C4C" w:rsidRPr="00145184" w:rsidP="00481AB5">
      <w:pPr>
        <w:numPr>
          <w:ilvl w:val="0"/>
          <w:numId w:val="3"/>
        </w:numPr>
        <w:contextualSpacing/>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481AB5">
      <w:pPr>
        <w:contextualSpacing/>
        <w:rPr>
          <w:color w:val="000000" w:themeColor="text1"/>
        </w:rPr>
      </w:pPr>
    </w:p>
    <w:p w:rsidR="004B5CD4" w:rsidRPr="00145184" w:rsidP="00481AB5">
      <w:pPr>
        <w:contextualSpacing/>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81AB5">
      <w:pPr>
        <w:numPr>
          <w:ilvl w:val="0"/>
          <w:numId w:val="3"/>
        </w:numPr>
        <w:contextualSpacing/>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481AB5">
      <w:pPr>
        <w:numPr>
          <w:ilvl w:val="0"/>
          <w:numId w:val="3"/>
        </w:numPr>
        <w:contextualSpacing/>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481AB5">
      <w:pPr>
        <w:contextualSpacing/>
        <w:rPr>
          <w:b/>
          <w:color w:val="000000" w:themeColor="text1"/>
        </w:rPr>
      </w:pPr>
    </w:p>
    <w:p w:rsidR="00A82C4C" w:rsidRPr="00145184" w:rsidP="00481AB5">
      <w:pPr>
        <w:contextualSpacing/>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481AB5">
      <w:pPr>
        <w:contextualSpacing/>
        <w:jc w:val="center"/>
      </w:pPr>
      <w:r>
        <w:rPr>
          <w:noProof/>
        </w:rPr>
        <w:t>Elena Carro, Sarah Woodall</w:t>
      </w:r>
    </w:p>
    <w:p w:rsidR="00A82C4C" w:rsidP="00481AB5">
      <w:pPr>
        <w:contextualSpacing/>
        <w:jc w:val="center"/>
        <w:rPr>
          <w:noProof/>
        </w:rPr>
      </w:pPr>
      <w:r>
        <w:rPr>
          <w:noProof/>
        </w:rPr>
        <w:t>Elena.n.carro@vanderbilt.edu, sarah.c.woodall@vanderbilt.edu</w:t>
      </w:r>
    </w:p>
    <w:p w:rsidR="00442B21" w:rsidRPr="006959B0" w:rsidP="006959B0">
      <w:pPr>
        <w:contextualSpacing/>
        <w:jc w:val="cente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Tyler Browne</cp:lastModifiedBy>
  <cp:revision>3</cp:revision>
  <dcterms:created xsi:type="dcterms:W3CDTF">2022-04-22T18:23:00Z</dcterms:created>
  <dcterms:modified xsi:type="dcterms:W3CDTF">2022-04-22T19:08:00Z</dcterms:modified>
</cp:coreProperties>
</file>