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46th Annual Contemporary Clinical Neurology Symposium - CME 2023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46th Annual Contemporary Clinical Neurology Symposium - CME 2023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July 17, 2023</w:t>
      </w:r>
      <w:r w:rsidR="00BC157D">
        <w:t xml:space="preserve"> </w:t>
      </w:r>
      <w:r w:rsidR="00A41F81">
        <w:t xml:space="preserve"> - </w:t>
      </w:r>
      <w:r w:rsidR="00A41F81">
        <w:t>01:00 July, 21, 2023</w:t>
      </w:r>
      <w:r>
        <w:fldChar w:fldCharType="begin"/>
      </w:r>
      <w:r>
        <w:instrText xml:space="preserve"> IF </w:instrText>
      </w:r>
      <w:r>
        <w:instrText>Other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Other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Other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20.00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20.00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20.00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20.00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fldChar w:fldCharType="begin"/>
      </w:r>
      <w:r>
        <w:rPr>
          <w:bCs/>
        </w:rPr>
        <w:instrText xml:space="preserve"> MERGEFIELD </w:instrText>
      </w:r>
      <w:r>
        <w:rPr>
          <w:bCs/>
        </w:rPr>
        <w:instrText>APAHoursMax \# 0.00#</w:instrText>
      </w:r>
      <w:r>
        <w:rPr>
          <w:bCs/>
        </w:rPr>
        <w:instrText xml:space="preserve">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1 understand evaluation and diagnosis of epilepsy, stroke, movement disorders, multiple sclerosis and headache.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describe evidence-based management strategies for epilepsy, stroke, movement disorders, multiple sclerosis and headache.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3 understand implications of potential federal policy changes related to recentley passed legislation. 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understand evaluation and diagnosis of epilepsy, stroke, movement disorders, multiple sclerosis and headache.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describe evidence-based management strategies for epilepsy, stroke, movement disorders, multiple sclerosis and headache.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3 understand implications of potential federal policy changes related to recentley passed legislation. 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understand evaluation and diagnosis of epilepsy, stroke, movement disorders, multiple sclerosis and headache.</w:t>
      </w:r>
    </w:p>
    <w:p w:rsidR="00F46F37" w:rsidP="00481AB5">
      <w:pPr>
        <w:contextualSpacing/>
        <w:rPr>
          <w:bCs/>
        </w:rPr>
      </w:pPr>
      <w:r>
        <w:rPr>
          <w:bCs/>
        </w:rPr>
        <w:t>2 describe evidence-based management strategies for epilepsy, stroke, movement disorders, multiple sclerosis and headache.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3 understand implications of potential federal policy changes related to recentley passed legislation. 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Neurology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Neurology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Neurology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Commercial Support - AbbVie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Boston Scientific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Eisai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Liva Nova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Medtronic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Merz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Mitsubishi Tanabe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Novartis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Ovid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Supernus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 w:rsidR="00B70A06">
        <w:rPr>
          <w:rFonts w:asciiTheme="minorHAnsi" w:hAnsiTheme="minorHAnsi" w:cstheme="minorHAnsi"/>
          <w:noProof/>
        </w:rPr>
        <w:instrText>Commercial Support</w:instrText>
      </w:r>
      <w:r>
        <w:rPr>
          <w:rFonts w:asciiTheme="minorHAnsi" w:hAnsiTheme="minorHAnsi" w:cstheme="minorHAnsi"/>
        </w:rPr>
        <w:instrText xml:space="preserve"> - AbbVie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Boston Scientific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Eisai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Liva Nova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Medtronic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Merz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Mitsubishi Tanabe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Novartis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Ovid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Commercial Support - Supernus</w:instrTex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t>Commercial Support</w:t>
      </w:r>
      <w:r>
        <w:rPr>
          <w:rFonts w:asciiTheme="minorHAnsi" w:hAnsiTheme="minorHAnsi" w:cstheme="minorHAnsi"/>
        </w:rPr>
        <w:t xml:space="preserve"> - AbbVie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Boston Scientific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Eisai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Liva Nova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Medtronic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Merz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Mitsubishi Tanabe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Novartis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Ovid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Commercial Support - Supernus</w:t>
      </w:r>
    </w:p>
    <w:p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Dane M Chetkovich,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- 08/22/2022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Howard S Kirshner,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- 08/26/2022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Philip D Charles,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Fee-Supernus|Consulting Fee-Revance (Relationship has ended)|Consulting Fee-Merz (Relationship has ended)|Consulting Fee-Newronika|Consulting Fee-Ipsen (Relationship has ended)|Consulting Fee-Abbott (Relationship has ended)|Grant or research support-Impax (Relationship has ended)|Grant or research support-Pharma2B|Grant or research support-Aeon|Grant or research support-Merz|Grant or research support-Novartis - 08/25/2022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Subramaniam Sriram,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- 12/21/2022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Thomas L Davis,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Fee-AbbVie AbbVie - 09/05/2022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Anne E O'Duffy,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- 06/07/2023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Kelly Harper, BPS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Activity Administrator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- 08/30/2022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Angela Crudele,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- 08/26/2022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Britt Stone,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Membership on Advisory Committees or Review Panels, Board Membership, etc.-Boston Scientific - 08/22/2022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Greg Albers,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Fee-Genentech|Stocks or stock options, excluding diversified mutual funds-iSchemaView|Stocks or stock options, excluding diversified mutual funds-iSchemaView - 06/20/2023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63534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Kelly Harper, Lauren schattinger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kelly.a.harper@vumc.org, lauren.schattinger@vumc.org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