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STAT-MD Training Workshop  2023 CME APA NCPD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STAT-MD Training Workshop  2023 CME APA NCPD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April 14, 2023</w:t>
      </w:r>
      <w:r w:rsidR="00BC157D">
        <w:t xml:space="preserve"> </w:t>
      </w:r>
      <w:r w:rsidR="00A41F81">
        <w:t xml:space="preserve"> - </w:t>
      </w:r>
      <w:r w:rsidR="00A41F81">
        <w:t>05:00 April, 14, 2023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9.00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9.00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bCs/>
        </w:rPr>
        <w:t>Vanderbilt University Medical Center, Nursing Education and Professional Development, is accredited as a provider of</w:t>
      </w:r>
      <w:r>
        <w:rPr>
          <w:bCs/>
        </w:rPr>
        <w:t xml:space="preserve"> </w:t>
      </w:r>
      <w:r w:rsidRPr="00D004FB">
        <w:rPr>
          <w:bCs/>
        </w:rPr>
        <w:t>nursing continuing professional development by the American Nurses Credentialing Center’s Commission on Accreditation.</w:t>
      </w:r>
    </w:p>
    <w:p w:rsidR="00D004F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072CAB">
        <w:rPr>
          <w:bCs/>
        </w:rPr>
        <w:fldChar w:fldCharType="begin"/>
      </w:r>
      <w:r w:rsidR="00072CAB">
        <w:rPr>
          <w:bCs/>
        </w:rPr>
        <w:instrText xml:space="preserve"> IF </w:instrText>
      </w:r>
      <w:r w:rsidR="00072CAB">
        <w:rPr>
          <w:bCs/>
        </w:rPr>
        <w:instrText>9.00</w:instrText>
      </w:r>
      <w:r w:rsidR="00072CAB">
        <w:rPr>
          <w:bCs/>
        </w:rPr>
        <w:instrText xml:space="preserve"> &gt; 0 "</w:instrText>
      </w:r>
      <w:r w:rsidRPr="00072CAB" w:rsid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9.00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9.00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9.00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9.00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instrText>9.00</w:instrText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 w:rsidR="00481AB5">
        <w:rPr>
          <w:bCs/>
        </w:rPr>
        <w:t xml:space="preserve">This activity is designated to award a maximum of </w:t>
      </w:r>
      <w:r w:rsidR="00481AB5">
        <w:rPr>
          <w:bCs/>
        </w:rPr>
        <w:t>9.00</w:t>
      </w:r>
      <w:r w:rsidR="00481AB5">
        <w:rPr>
          <w:bCs/>
        </w:rPr>
        <w:t xml:space="preserve"> ANCC contact hour(s).</w:t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9.00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9.00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9.00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Examine the core features of ASD in young children.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Recognize developmental risk markers for ASD in young children.   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Learn and score elements of the STAT that can be used as part of an overall office-based assessment for ASD. 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4 Demonstrate ways to synthesize information from a variety of sources to assist differential diagnosis of ASD in young children. 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5 Identify and utilize a framework for initiating community based services for families of young children with ASD. 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Know how to code for the above services.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7 Conduct a developmentally sensitive caregiver interview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8 Determine likelihood for autism based on case examples of STAT assessment, parent interview, and medical record review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9 Communicate diagnostic impressions and STAT results to parent(s)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Examine the core features of ASD in young children.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Recognize developmental risk markers for ASD in young children.   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Learn and score elements of the STAT that can be used as part of an overall office-based assessment for ASD. 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4 Demonstrate ways to synthesize information from a variety of sources to assist differential diagnosis of ASD in young children. 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5 Identify and utilize a framework for initiating community based services for families of young children with ASD. 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Know how to code for the above services.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7 Conduct a developmentally sensitive caregiver interview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8 Determine likelihood for autism based on case examples of STAT assessment, parent interview, and medical record review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9 Communicate diagnostic impressions and STAT results to parent(s) 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Examine the core features of ASD in young children.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Recognize developmental risk markers for ASD in young children.   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Learn and score elements of the STAT that can be used as part of an overall office-based assessment for ASD. 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4 Demonstrate ways to synthesize information from a variety of sources to assist differential diagnosis of ASD in young children. 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5 Identify and utilize a framework for initiating community based services for families of young children with ASD.  </w:t>
      </w:r>
    </w:p>
    <w:p w:rsidR="00F46F37" w:rsidP="00481AB5">
      <w:pPr>
        <w:contextualSpacing/>
        <w:rPr>
          <w:bCs/>
        </w:rPr>
      </w:pPr>
      <w:r>
        <w:rPr>
          <w:bCs/>
        </w:rPr>
        <w:t>6 Know how to code for the above services.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7 Conduct a developmentally sensitive caregiver interview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8 Determine likelihood for autism based on case examples of STAT assessment, parent interview, and medical record review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9 Communicate diagnostic impressions and STAT results to parent(s)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After participating in this activity, 80% of leaners who complete the evaluation will self-report increased knowledge in the early identification of ASD through use of enhanced diagnostic consultation and screening procedures in pediatric patients.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After participating in this activity, 80% of leaners who complete the evaluation will self-report increased knowledge in the early identification of ASD through use of enhanced diagnostic consultation and screening procedures in pediatric patients.</w:instrText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/>
        </w:rPr>
        <w:t>Learning Outcomes</w:t>
      </w:r>
    </w:p>
    <w:p w:rsidR="00CE38A1" w:rsidP="00481AB5">
      <w:pPr>
        <w:contextualSpacing/>
        <w:rPr>
          <w:bCs/>
        </w:rPr>
      </w:pPr>
      <w:r>
        <w:rPr>
          <w:bCs/>
        </w:rPr>
        <w:t>1 After participating in this activity, 80% of leaners who complete the evaluation will self-report increased knowledge in the early identification of ASD through use of enhanced diagnostic consultation and screening procedures in pediatric patients.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Pediatrics, 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Pediatrics, 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Pediatrics, 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continuing education (CE)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Rachel H Goode,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Jeffrey F Hine,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Gloria J Wacks,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ANCC Provider Unit 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Wendy Stone,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Zachary E Warren,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Courtney Burnette,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Amy Swanson, MA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Faculty,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- 11/17/2022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68596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Mary Wood, Amy Swanson, Gloria Wacks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mary.e.wood@vumc.org, amy.r.swanson@vumc.org, gloria.j.wacks@vumc.org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