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Pediatric Allergy in a Nutshell 2023 CME-NCPD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Pediatric Allergy in a Nutshell 2023 CME-NCPD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08:15</w:t>
      </w:r>
      <w:r w:rsidRPr="00145184" w:rsidR="00A17BBD">
        <w:t xml:space="preserve"> April 28, 2023</w:t>
      </w:r>
      <w:r w:rsidR="00BC157D">
        <w:t xml:space="preserve"> </w:t>
      </w:r>
      <w:r w:rsidR="00A41F81">
        <w:t xml:space="preserve"> - </w:t>
      </w:r>
      <w:r w:rsidR="00A41F81">
        <w:t>04:00 April, 28, 2023</w:t>
      </w:r>
      <w:r>
        <w:fldChar w:fldCharType="begin"/>
      </w:r>
      <w:r>
        <w:instrText xml:space="preserve"> IF </w:instrText>
      </w:r>
      <w:r>
        <w:instrText>Other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Other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Other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6.50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6.00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bCs/>
        </w:rPr>
        <w:t>Vanderbilt University Medical Center, Nursing Education and Professional Development, is accredited as a provider of</w:t>
      </w:r>
      <w:r>
        <w:rPr>
          <w:bCs/>
        </w:rPr>
        <w:t xml:space="preserve"> </w:t>
      </w:r>
      <w:r w:rsidRPr="00D004FB">
        <w:rPr>
          <w:bCs/>
        </w:rPr>
        <w:t>nursing continuing professional development by the American Nurses Credentialing Center’s Commission on Accreditation.</w:t>
      </w:r>
    </w:p>
    <w:p w:rsidR="00D004F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072CAB">
        <w:rPr>
          <w:bCs/>
        </w:rPr>
        <w:fldChar w:fldCharType="begin"/>
      </w:r>
      <w:r w:rsidR="00072CAB">
        <w:rPr>
          <w:bCs/>
        </w:rPr>
        <w:instrText xml:space="preserve"> IF </w:instrText>
      </w:r>
      <w:r w:rsidR="00072CAB">
        <w:rPr>
          <w:bCs/>
        </w:rPr>
        <w:instrText>0.00</w:instrText>
      </w:r>
      <w:r w:rsidR="00072CAB">
        <w:rPr>
          <w:bCs/>
        </w:rPr>
        <w:instrText xml:space="preserve"> &gt; 0 "</w:instrText>
      </w:r>
      <w:r w:rsidRPr="00072CAB" w:rsid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6.50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6.50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6.50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6.00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instrText>6.00</w:instrText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 w:rsidR="00481AB5">
        <w:rPr>
          <w:bCs/>
        </w:rPr>
        <w:t xml:space="preserve">This activity is designated to award a maximum of </w:t>
      </w:r>
      <w:r w:rsidR="00481AB5">
        <w:rPr>
          <w:bCs/>
        </w:rPr>
        <w:t>6.00</w:t>
      </w:r>
      <w:r w:rsidR="00481AB5">
        <w:rPr>
          <w:bCs/>
        </w:rPr>
        <w:t xml:space="preserve"> ANCC contact hour(s).</w:t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Describe when to refer a patient for drug allergy evaluation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 adequate skin care regiment for patients with atopic dermatitis, and understand new therapies that are available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Understand the role of foods in atopic dermatitis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Understand new treatments for food allergy and strategies for prevention of food allergy in infants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Describe changes to asthma guidelines and new strategies for treatment of asthma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Describe concerning vaccine reactions and when to refer for evaluation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when to refer a patient for drug allergy evaluation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 adequate skin care regiment for patients with atopic dermatitis, and understand new therapies that are available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Understand the role of foods in atopic dermatitis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Understand new treatments for food allergy and strategies for prevention of food allergy in infants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Describe changes to asthma guidelines and new strategies for treatment of asthma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Describe concerning vaccine reactions and when to refer for evaluation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when to refer a patient for drug allergy evaluation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 adequate skin care regiment for patients with atopic dermatitis, and understand new therapies that are available</w:t>
      </w:r>
    </w:p>
    <w:p w:rsidR="00F46F37" w:rsidP="00481AB5">
      <w:pPr>
        <w:contextualSpacing/>
        <w:rPr>
          <w:bCs/>
        </w:rPr>
      </w:pPr>
      <w:r>
        <w:rPr>
          <w:bCs/>
        </w:rPr>
        <w:t>3 Understand the role of foods in atopic dermatitis</w:t>
      </w:r>
    </w:p>
    <w:p w:rsidR="00F46F37" w:rsidP="00481AB5">
      <w:pPr>
        <w:contextualSpacing/>
        <w:rPr>
          <w:bCs/>
        </w:rPr>
      </w:pPr>
      <w:r>
        <w:rPr>
          <w:bCs/>
        </w:rPr>
        <w:t>4 Understand new treatments for food allergy and strategies for prevention of food allergy in infants</w:t>
      </w:r>
    </w:p>
    <w:p w:rsidR="00F46F37" w:rsidP="00481AB5">
      <w:pPr>
        <w:contextualSpacing/>
        <w:rPr>
          <w:bCs/>
        </w:rPr>
      </w:pPr>
      <w:r>
        <w:rPr>
          <w:bCs/>
        </w:rPr>
        <w:t>5 Describe changes to asthma guidelines and new strategies for treatment of asthma</w:t>
      </w:r>
    </w:p>
    <w:p w:rsidR="00F46F37" w:rsidP="00481AB5">
      <w:pPr>
        <w:contextualSpacing/>
        <w:rPr>
          <w:bCs/>
        </w:rPr>
      </w:pPr>
      <w:r>
        <w:rPr>
          <w:bCs/>
        </w:rPr>
        <w:t>6 Describe concerning vaccine reactions and when to refer for evaluation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After participating in this educational activity, 80% of learners completing the evaluation will self-report increased knowledge in the pathophysiology, diagnosis, and treatment of pediatric allergic and immunologic conditions.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After participating in this educational activity, 80% of learners completing the evaluation will self-report increased knowledge in the pathophysiology, diagnosis, and treatment of pediatric allergic and immunologic conditions.</w:instrText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/>
        </w:rPr>
        <w:t>Learning Outcomes</w:t>
      </w:r>
    </w:p>
    <w:p w:rsidR="00CE38A1" w:rsidP="00481AB5">
      <w:pPr>
        <w:contextualSpacing/>
        <w:rPr>
          <w:bCs/>
        </w:rPr>
      </w:pPr>
      <w:r>
        <w:rPr>
          <w:bCs/>
        </w:rPr>
        <w:t>1 After participating in this educational activity, 80% of learners completing the evaluation will self-report increased knowledge in the pathophysiology, diagnosis, and treatment of pediatric allergic and immunologic conditions.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Dermatology, Emergency Medicine, Pediatrics, Otolaryngology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Dermatology, Emergency Medicine, Pediatrics, Otolaryngology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Dermatology, Emergency Medicine, Pediatrics, Otolaryngology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continuing education (CE) activities are compliant with the Standards for Integrity and Independence in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accredited continuing education. Any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 in a position to control the content of a CE activity, including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 not limited to planners and faculty, are required to disclose all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financial relationships have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been mitigated.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Yasmin W Khan,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Content Expert,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Gloria J Wacks,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ANCC Provider Unit 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Melinda K Young, AS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Leonard Bacharier,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Advisor-Sanofi|Advisor-Avillion|Advisor-Recludix|Advisor-Regeneron|Advisor-OM Pharma|Advisor-GlaxoSmithKline (Relationship has ended)|Advisor-Genentech/Novartis (Relationship has ended)|Advisor-AstraZeneca|Consulting Fee-Vertex|Advisor-DBV Technologies|Honoraria-AstraZeneca|Honoraria-Sanofi/Regeneron|Honoraria-GlaxoSmithKline (Relationship has ended)|Grant or research support-Sanofi (Relationship has ended)|Grant or research support-NIH/NHLBI|Grant or research support-NIH/NIAID (Relationship has ended)|Membership on Advisory Committees or Review Panels, Board Membership, etc.-Journal of Allergy and Clinical Immunology|Membership on Advisory Committees or Review Panels, Board Membership, etc.-American Board of Allergy and Immunology|Membership on Advisory Committees or Review Panels, Board Membership, etc.-American Academy of Allergy Asthma and Immunology|Membership on Advisory Committees or Review Panels, Board Membership, etc.-Global Initiative for Asthma|Royalties or Patent Beneficiary-Elsevier - 04/10/2023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Lauren P Carlson, MSN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Stacy L Dorris,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etc.-Genentech (Relationship has ended) - 12/09/2022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Donna S Hummell,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Membership on Advisory Committees or Review Panels, Board Membership, etc.-Merck - 12/07/2022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Edward G.A. Iglesia,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Grace Koo,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Allison E Norton,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Rachel Robison,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Grant or research support-Sanofi|Grant or research support-DBV Technologies|Grant or research support-Aimmune Therapeutics (Relationship has ended)|Advisor-Aimmune Therapeutics (Relationship has ended) - 04/04/2023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Kim Woodward, APRN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- 03/06/2023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Monica Fontenot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- 03/15/2023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73149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Gloria Wacks, Melinda Young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gloria.j.wacks@vumc.org, kathy.young@vumc.org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