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Quality Academy Bootcamp CME NCPD</w:instrText>
      </w:r>
      <w:r w:rsidRPr="00A74FC1" w:rsidR="00FD3D76">
        <w:rPr>
          <w:b/>
          <w:sz w:val="40"/>
          <w:szCs w:val="40"/>
        </w:rPr>
        <w:instrText>"</w:instrText>
      </w:r>
      <w:r>
        <w:rPr>
          <w:b/>
          <w:sz w:val="40"/>
          <w:szCs w:val="40"/>
        </w:rPr>
        <w:fldChar w:fldCharType="separate"/>
      </w:r>
      <w:r>
        <w:rPr>
          <w:b/>
          <w:sz w:val="52"/>
          <w:szCs w:val="52"/>
        </w:rPr>
        <w:t>Quality Academy Bootcamp CME NCPD</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08:30</w:t>
      </w:r>
      <w:r w:rsidRPr="00145184" w:rsidR="00A17BBD">
        <w:t xml:space="preserve"> February 2, 2023</w:t>
      </w:r>
      <w:r w:rsidR="00BC157D">
        <w:t xml:space="preserve"> </w:t>
      </w:r>
      <w:r w:rsidR="00A41F81">
        <w:t xml:space="preserve"> - </w:t>
      </w:r>
      <w:r w:rsidR="00A41F81">
        <w:t>01:00 February, 2, 2023</w:t>
      </w:r>
      <w:r>
        <w:fldChar w:fldCharType="begin"/>
      </w:r>
      <w:r>
        <w:instrText xml:space="preserve"> IF </w:instrText>
      </w:r>
      <w:r>
        <w:instrText>"</w:instrText>
      </w:r>
      <w:r>
        <w:instrText>Nashville, TN</w:instrText>
      </w:r>
      <w:r>
        <w:instrText>"</w:instrText>
      </w:r>
      <w:r>
        <w:instrText xml:space="preserve"> &lt;&gt; "" "</w:instrText>
      </w:r>
    </w:p>
    <w:p w:rsidR="00B70A06" w:rsidP="00481AB5">
      <w:pPr>
        <w:contextualSpacing/>
        <w:rPr>
          <w:noProof/>
        </w:rPr>
      </w:pPr>
      <w:r>
        <w:instrText xml:space="preserve">Location: </w:instrText>
      </w:r>
      <w:r>
        <w:rPr>
          <w:noProof/>
        </w:rPr>
        <w:instrText xml:space="preserve">Nashville, </w:instrText>
      </w:r>
      <w:r w:rsidR="00442B21">
        <w:instrText>TN</w:instrText>
      </w:r>
      <w:r>
        <w:instrText xml:space="preserve">" "" </w:instrText>
      </w:r>
      <w:r w:rsidR="00442B21">
        <w:fldChar w:fldCharType="separate"/>
      </w:r>
    </w:p>
    <w:p w:rsidR="00C24750" w:rsidP="00481AB5">
      <w:pPr>
        <w:contextualSpacing/>
      </w:pPr>
      <w:r>
        <w:t xml:space="preserve">Location: </w:t>
      </w:r>
      <w:r w:rsidR="00B70A06">
        <w:rPr>
          <w:noProof/>
        </w:rPr>
        <w:t xml:space="preserve">Nashville, </w:t>
      </w:r>
      <w:r w:rsidR="00442B21">
        <w:t>TN</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5.00</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4.25</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sidRPr="00D004FB">
        <w:rPr>
          <w:bCs/>
        </w:rPr>
        <w:t>Vanderbilt University Medical Center, Nursing Education and Professional Development, is accredited as a provider of</w:t>
      </w:r>
      <w:r>
        <w:rPr>
          <w:bCs/>
        </w:rPr>
        <w:t xml:space="preserve"> </w:t>
      </w:r>
      <w:r w:rsidRPr="00D004FB">
        <w:rPr>
          <w:bCs/>
        </w:rPr>
        <w:t>nursing continuing professional development by the American Nurses Credentialing Center’s Commission on Accreditation.</w:t>
      </w:r>
    </w:p>
    <w:p w:rsidR="00D004FB" w:rsidP="00481AB5">
      <w:pPr>
        <w:contextualSpacing/>
        <w:rPr>
          <w:bCs/>
        </w:rPr>
      </w:pPr>
    </w:p>
    <w:p w:rsidP="00481AB5">
      <w:pPr>
        <w:contextualSpacing/>
        <w:rPr>
          <w:bCs/>
        </w:rPr>
      </w:pPr>
      <w:r>
        <w:rPr>
          <w:bCs/>
        </w:rPr>
        <w:fldChar w:fldCharType="end"/>
      </w:r>
      <w:r w:rsidR="00072CAB">
        <w:rPr>
          <w:bCs/>
        </w:rPr>
        <w:fldChar w:fldCharType="begin"/>
      </w:r>
      <w:r w:rsidR="00072CAB">
        <w:rPr>
          <w:bCs/>
        </w:rPr>
        <w:instrText xml:space="preserve"> IF </w:instrText>
      </w:r>
      <w:r w:rsidR="00072CAB">
        <w:rPr>
          <w:bCs/>
        </w:rPr>
        <w:instrText>0.00</w:instrText>
      </w:r>
      <w:r w:rsidR="00072CAB">
        <w:rPr>
          <w:bCs/>
        </w:rPr>
        <w:instrText xml:space="preserve"> &gt; 0 "</w:instrText>
      </w:r>
      <w:r w:rsidRPr="00072CAB" w:rsid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5.00</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5.00</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5.00</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4.25</w:instrText>
      </w:r>
      <w:r w:rsidR="00481AB5">
        <w:rPr>
          <w:bCs/>
        </w:rPr>
        <w:instrText xml:space="preserve"> &gt; 0 "This activity is designated to award a maximum of </w:instrText>
      </w:r>
      <w:r w:rsidR="00481AB5">
        <w:rPr>
          <w:bCs/>
        </w:rPr>
        <w:instrText>4.25</w:instrText>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sidR="00481AB5">
        <w:rPr>
          <w:bCs/>
        </w:rPr>
        <w:t xml:space="preserve">This activity is designated to award a maximum of </w:t>
      </w:r>
      <w:r w:rsidR="00481AB5">
        <w:rPr>
          <w:bCs/>
        </w:rPr>
        <w:t>4.25</w:t>
      </w:r>
      <w:r w:rsidR="00481AB5">
        <w:rPr>
          <w:bCs/>
        </w:rPr>
        <w:t xml:space="preserve"> ANCC contact hour(s).</w:t>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Use Key Driver Diagrams and develop SMART aims.</w:instrText>
      </w:r>
    </w:p>
    <w:p w:rsidR="00F46F37" w:rsidP="00481AB5">
      <w:pPr>
        <w:contextualSpacing/>
        <w:rPr>
          <w:bCs/>
        </w:rPr>
      </w:pPr>
      <w:r w:rsidR="00CE38A1">
        <w:rPr>
          <w:bCs/>
        </w:rPr>
        <w:instrText>1 Use Key Driver Diagrams and develop SMART aims</w:instrText>
      </w:r>
    </w:p>
    <w:p w:rsidR="00F46F37" w:rsidP="00481AB5">
      <w:pPr>
        <w:contextualSpacing/>
        <w:rPr>
          <w:bCs/>
        </w:rPr>
      </w:pPr>
      <w:r w:rsidR="00CE38A1">
        <w:rPr>
          <w:bCs/>
        </w:rPr>
        <w:instrText>2 Use and interpret statistical process control charts to drive quality improvement results</w:instrText>
      </w:r>
    </w:p>
    <w:p w:rsidR="00F46F37" w:rsidP="00481AB5">
      <w:pPr>
        <w:contextualSpacing/>
        <w:rPr>
          <w:bCs/>
        </w:rPr>
      </w:pPr>
      <w:r w:rsidR="00CE38A1">
        <w:rPr>
          <w:bCs/>
        </w:rPr>
        <w:instrText>2 Use and interpret statistical process control charts to drive quality improvement results</w:instrText>
      </w:r>
    </w:p>
    <w:p w:rsidR="00F46F37" w:rsidP="00481AB5">
      <w:pPr>
        <w:contextualSpacing/>
        <w:rPr>
          <w:bCs/>
        </w:rPr>
      </w:pPr>
      <w:r w:rsidR="00CE38A1">
        <w:rPr>
          <w:bCs/>
        </w:rPr>
        <w:instrText>3 Lead teams in addressing patient safety/quality issues using the Model for Improvement methodology</w:instrText>
      </w:r>
    </w:p>
    <w:p w:rsidR="00F46F37" w:rsidP="00481AB5">
      <w:pPr>
        <w:contextualSpacing/>
        <w:rPr>
          <w:bCs/>
        </w:rPr>
      </w:pPr>
      <w:r w:rsidR="00CE38A1">
        <w:rPr>
          <w:bCs/>
        </w:rPr>
        <w:instrText>3 Lead teams in addressing patient safety/quality issues using the Model for Improvement methodology</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Use Key Driver Diagrams and develop SMART aims.</w:instrText>
      </w:r>
    </w:p>
    <w:p w:rsidR="00F46F37" w:rsidP="00481AB5">
      <w:pPr>
        <w:contextualSpacing/>
        <w:rPr>
          <w:bCs/>
        </w:rPr>
      </w:pPr>
      <w:r>
        <w:rPr>
          <w:bCs/>
        </w:rPr>
        <w:instrText>1 Use Key Driver Diagrams and develop SMART aims</w:instrText>
      </w:r>
    </w:p>
    <w:p w:rsidR="00F46F37" w:rsidP="00481AB5">
      <w:pPr>
        <w:contextualSpacing/>
        <w:rPr>
          <w:bCs/>
        </w:rPr>
      </w:pPr>
      <w:r>
        <w:rPr>
          <w:bCs/>
        </w:rPr>
        <w:instrText>2 Use and interpret statistical process control charts to drive quality improvement results</w:instrText>
      </w:r>
    </w:p>
    <w:p w:rsidR="00F46F37" w:rsidP="00481AB5">
      <w:pPr>
        <w:contextualSpacing/>
        <w:rPr>
          <w:bCs/>
        </w:rPr>
      </w:pPr>
      <w:r>
        <w:rPr>
          <w:bCs/>
        </w:rPr>
        <w:instrText>2 Use and interpret statistical process control charts to drive quality improvement results</w:instrText>
      </w:r>
    </w:p>
    <w:p w:rsidR="00F46F37" w:rsidP="00481AB5">
      <w:pPr>
        <w:contextualSpacing/>
        <w:rPr>
          <w:bCs/>
        </w:rPr>
      </w:pPr>
      <w:r>
        <w:rPr>
          <w:bCs/>
        </w:rPr>
        <w:instrText>3 Lead teams in addressing patient safety/quality issues using the Model for Improvement methodology</w:instrText>
      </w:r>
    </w:p>
    <w:p w:rsidR="00F46F37" w:rsidP="00481AB5">
      <w:pPr>
        <w:contextualSpacing/>
        <w:rPr>
          <w:bCs/>
        </w:rPr>
      </w:pPr>
      <w:r>
        <w:rPr>
          <w:bCs/>
        </w:rPr>
        <w:instrText>3 Lead teams in addressing patient safety/quality issues using the Model for Improvement methodology</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Use Key Driver Diagrams and develop SMART aims.</w:t>
      </w:r>
    </w:p>
    <w:p w:rsidR="00F46F37" w:rsidP="00481AB5">
      <w:pPr>
        <w:contextualSpacing/>
        <w:rPr>
          <w:bCs/>
        </w:rPr>
      </w:pPr>
      <w:r>
        <w:rPr>
          <w:bCs/>
        </w:rPr>
        <w:t>1 Use Key Driver Diagrams and develop SMART aims</w:t>
      </w:r>
    </w:p>
    <w:p w:rsidR="00F46F37" w:rsidP="00481AB5">
      <w:pPr>
        <w:contextualSpacing/>
        <w:rPr>
          <w:bCs/>
        </w:rPr>
      </w:pPr>
      <w:r>
        <w:rPr>
          <w:bCs/>
        </w:rPr>
        <w:t>2 Use and interpret statistical process control charts to drive quality improvement results</w:t>
      </w:r>
    </w:p>
    <w:p w:rsidR="00F46F37" w:rsidP="00481AB5">
      <w:pPr>
        <w:contextualSpacing/>
        <w:rPr>
          <w:bCs/>
        </w:rPr>
      </w:pPr>
      <w:r>
        <w:rPr>
          <w:bCs/>
        </w:rPr>
        <w:t>2 Use and interpret statistical process control charts to drive quality improvement results</w:t>
      </w:r>
    </w:p>
    <w:p w:rsidR="00F46F37" w:rsidP="00481AB5">
      <w:pPr>
        <w:contextualSpacing/>
        <w:rPr>
          <w:bCs/>
        </w:rPr>
      </w:pPr>
      <w:r>
        <w:rPr>
          <w:bCs/>
        </w:rPr>
        <w:t>3 Lead teams in addressing patient safety/quality issues using the Model for Improvement methodology</w:t>
      </w:r>
    </w:p>
    <w:p w:rsidR="00F46F37" w:rsidP="00481AB5">
      <w:pPr>
        <w:contextualSpacing/>
        <w:rPr>
          <w:bCs/>
        </w:rPr>
      </w:pPr>
      <w:r>
        <w:rPr>
          <w:bCs/>
        </w:rPr>
        <w:t>3 Lead teams in addressing patient safety/quality issues using the Model for Improvement methodology</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1 After attending this event, 80% of participants who complete the evaluation will self-report an increase in understanding of Quality Improvement Methodology and use of Quality Improvement tools.</w:instrText>
      </w:r>
      <w:r>
        <w:rPr>
          <w:bCs/>
        </w:rPr>
        <w:instrText>"</w:instrText>
      </w:r>
      <w:r>
        <w:rPr>
          <w:bCs/>
        </w:rPr>
        <w:instrText xml:space="preserve"> &lt;&gt; "" "</w:instrText>
      </w:r>
      <w:r>
        <w:rPr>
          <w:b/>
        </w:rPr>
        <w:instrText>Learning Outcomes</w:instrText>
      </w:r>
    </w:p>
    <w:p w:rsidR="00CE38A1" w:rsidP="00481AB5">
      <w:pPr>
        <w:contextualSpacing/>
        <w:rPr>
          <w:bCs/>
        </w:rPr>
      </w:pPr>
      <w:r>
        <w:rPr>
          <w:bCs/>
        </w:rPr>
        <w:instrText>1 After attending this event, 80% of participants who complete the evaluation will self-report an increase in understanding of Quality Improvement Methodology and use of Quality Improvement tools.</w:instrText>
      </w:r>
    </w:p>
    <w:p w:rsidR="00B70A06" w:rsidP="00481AB5">
      <w:pPr>
        <w:contextualSpacing/>
        <w:rPr>
          <w:bCs/>
          <w:noProof/>
        </w:rPr>
      </w:pPr>
      <w:r>
        <w:rPr>
          <w:bCs/>
        </w:rPr>
        <w:instrText xml:space="preserve">" "" </w:instrText>
      </w:r>
      <w:r w:rsidR="00F46F37">
        <w:rPr>
          <w:bCs/>
        </w:rPr>
        <w:fldChar w:fldCharType="separate"/>
      </w:r>
      <w:r>
        <w:rPr>
          <w:b/>
        </w:rPr>
        <w:t>Learning Outcomes</w:t>
      </w:r>
    </w:p>
    <w:p w:rsidR="00CE38A1" w:rsidP="00481AB5">
      <w:pPr>
        <w:contextualSpacing/>
        <w:rPr>
          <w:bCs/>
        </w:rPr>
      </w:pPr>
      <w:r>
        <w:rPr>
          <w:bCs/>
        </w:rPr>
        <w:t>1 After attending this event, 80% of participants who complete the evaluation will self-report an increase in understanding of Quality Improvement Methodology and use of Quality Improvement tools.</w:t>
      </w:r>
    </w:p>
    <w:p w:rsidP="00481AB5">
      <w:pPr>
        <w:contextualSpacing/>
        <w:rPr>
          <w:bCs/>
        </w:rPr>
      </w:pP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Emergency Medicine, Neurology, Pediatrics, Urology, Otolaryngology, Medicine, Obstetrics And Gynecology, Orthopaedic Surgery And Rehabilitation, Psychiatry And Behavioral Sciences, Radiology And Radiological Sciences, Section Of Surgical Sciences, Surgery, Neurological Surgery, Cardiac Surgery, Oral And Maxillofacial Surgery, Plastic Surgery, Pediatric Surgery, Other, Social Work, Pharmacy, Nursing, Thoracic Surgery, Palliative Care</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Emergency Medicine, Neurology, Pediatrics, Urology, Otolaryngology, Medicine, Obstetrics And Gynecology, Orthopaedic Surgery And Rehabilitation, Psychiatry And Behavioral Sciences, Radiology And Radiological Sciences, Section Of Surgical Sciences, Surgery, Neurological Surgery, Cardiac Surgery, Oral And Maxillofacial Surgery, Plastic Surgery, Pediatric Surgery, Other, Social Work, Pharmacy, Nursing, Thoracic Surgery, Palliative Care</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Emergency Medicine, Neurology, Pediatrics, Urology, Otolaryngology, Medicine, Obstetrics And Gynecology, Orthopaedic Surgery And Rehabilitation, Psychiatry And Behavioral Sciences, Radiology And Radiological Sciences, Section Of Surgical Sciences, Surgery, Neurological Surgery, Cardiac Surgery, Oral And Maxillofacial Surgery, Plastic Surgery, Pediatric Surgery, Other, Social Work, Pharmacy, Nursing, Thoracic Surgery, Palliative Care</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Successful</w:t>
      </w:r>
    </w:p>
    <w:p w:rsidR="006959B0" w:rsidP="00481AB5">
      <w:pPr>
        <w:contextualSpacing/>
        <w:rPr>
          <w:rFonts w:asciiTheme="minorHAnsi" w:hAnsiTheme="minorHAnsi" w:cstheme="minorHAnsi"/>
        </w:rPr>
      </w:pPr>
      <w:r>
        <w:rPr>
          <w:rFonts w:asciiTheme="minorHAnsi" w:hAnsiTheme="minorHAnsi" w:cstheme="minorHAnsi"/>
        </w:rPr>
        <w:t>Nursing Contact Hour Requirements:</w:t>
      </w:r>
    </w:p>
    <w:p w:rsidR="006959B0" w:rsidP="00481AB5">
      <w:pPr>
        <w:contextualSpacing/>
        <w:rPr>
          <w:rFonts w:asciiTheme="minorHAnsi" w:hAnsiTheme="minorHAnsi" w:cstheme="minorHAnsi"/>
        </w:rPr>
      </w:pPr>
      <w:r>
        <w:rPr>
          <w:rFonts w:asciiTheme="minorHAnsi" w:hAnsiTheme="minorHAnsi" w:cstheme="minorHAnsi"/>
        </w:rPr>
        <w:t>- Attendance at entire event</w:t>
      </w:r>
    </w:p>
    <w:p w:rsidR="006959B0" w:rsidP="00481AB5">
      <w:pPr>
        <w:contextualSpacing/>
        <w:rPr>
          <w:rFonts w:asciiTheme="minorHAnsi" w:hAnsiTheme="minorHAnsi" w:cstheme="minorHAnsi"/>
        </w:rPr>
      </w:pPr>
      <w:r>
        <w:rPr>
          <w:rFonts w:asciiTheme="minorHAnsi" w:hAnsiTheme="minorHAnsi" w:cstheme="minorHAnsi"/>
        </w:rPr>
        <w:t>- Text in attendance within 72 hours of the</w:t>
      </w:r>
    </w:p>
    <w:p w:rsidR="006959B0" w:rsidP="00481AB5">
      <w:pPr>
        <w:contextualSpacing/>
        <w:rPr>
          <w:rFonts w:asciiTheme="minorHAnsi" w:hAnsiTheme="minorHAnsi" w:cstheme="minorHAnsi"/>
        </w:rPr>
      </w:pPr>
      <w:r>
        <w:rPr>
          <w:rFonts w:asciiTheme="minorHAnsi" w:hAnsiTheme="minorHAnsi" w:cstheme="minorHAnsi"/>
        </w:rPr>
        <w:t>start of the event</w:t>
      </w:r>
    </w:p>
    <w:p w:rsidR="006959B0" w:rsidP="00481AB5">
      <w:pPr>
        <w:contextualSpacing/>
        <w:rPr>
          <w:rFonts w:asciiTheme="minorHAnsi" w:hAnsiTheme="minorHAnsi" w:cstheme="minorHAnsi"/>
        </w:rPr>
      </w:pPr>
      <w:r>
        <w:rPr>
          <w:rFonts w:asciiTheme="minorHAnsi" w:hAnsiTheme="minorHAnsi" w:cstheme="minorHAnsi"/>
        </w:rPr>
        <w:t>- Completion of the evaluation</w:t>
      </w:r>
    </w:p>
    <w:p w:rsidR="006959B0" w:rsidP="00481AB5">
      <w:pPr>
        <w:contextualSpacing/>
        <w:rPr>
          <w:rFonts w:asciiTheme="minorHAnsi" w:hAnsiTheme="minorHAnsi" w:cstheme="minorHAnsi"/>
        </w:rPr>
      </w:pPr>
    </w:p>
    <w:p w:rsidR="006959B0"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rsidR="006959B0" w:rsidP="00481AB5">
      <w:pPr>
        <w:contextualSpacing/>
        <w:rPr>
          <w:rFonts w:asciiTheme="minorHAnsi" w:hAnsiTheme="minorHAnsi" w:cstheme="minorHAnsi"/>
        </w:rPr>
      </w:pPr>
      <w:r>
        <w:rPr>
          <w:rFonts w:asciiTheme="minorHAnsi" w:hAnsiTheme="minorHAnsi" w:cstheme="minorHAnsi"/>
        </w:rPr>
        <w:t>All relevant conflicts of interest have been mitigated before this activity started.</w:t>
      </w:r>
    </w:p>
    <w:p w:rsidR="006959B0" w:rsidP="00481AB5">
      <w:pPr>
        <w:contextualSpacing/>
        <w:rPr>
          <w:rFonts w:asciiTheme="minorHAnsi" w:hAnsiTheme="minorHAnsi" w:cstheme="minorHAnsi"/>
        </w:rPr>
      </w:pPr>
      <w:r>
        <w:rPr>
          <w:rFonts w:asciiTheme="minorHAnsi" w:hAnsiTheme="minorHAnsi" w:cstheme="minorHAnsi"/>
        </w:rPr>
        <w:t>Dr. David Johnson has disclosed a relationship as a paid</w:t>
      </w:r>
    </w:p>
    <w:p w:rsidR="006959B0" w:rsidP="00481AB5">
      <w:pPr>
        <w:contextualSpacing/>
        <w:rPr>
          <w:rFonts w:asciiTheme="minorHAnsi" w:hAnsiTheme="minorHAnsi" w:cstheme="minorHAnsi"/>
        </w:rPr>
      </w:pPr>
      <w:r>
        <w:rPr>
          <w:rFonts w:asciiTheme="minorHAnsi" w:hAnsiTheme="minorHAnsi" w:cstheme="minorHAnsi"/>
        </w:rPr>
        <w:t>consultant for LifePoint Corporate Services. The nurse planner for this event</w:t>
      </w:r>
    </w:p>
    <w:p w:rsidR="006959B0" w:rsidP="00481AB5">
      <w:pPr>
        <w:contextualSpacing/>
        <w:rPr>
          <w:rFonts w:asciiTheme="minorHAnsi" w:hAnsiTheme="minorHAnsi" w:cstheme="minorHAnsi"/>
        </w:rPr>
      </w:pPr>
      <w:r>
        <w:rPr>
          <w:rFonts w:asciiTheme="minorHAnsi" w:hAnsiTheme="minorHAnsi" w:cstheme="minorHAnsi"/>
        </w:rPr>
        <w:t>has determined that Dr. Johnson has self-mitigated this potential conflict of</w:t>
      </w:r>
    </w:p>
    <w:p w:rsidR="006959B0" w:rsidP="00481AB5">
      <w:pPr>
        <w:contextualSpacing/>
        <w:rPr>
          <w:rFonts w:asciiTheme="minorHAnsi" w:hAnsiTheme="minorHAnsi" w:cstheme="minorHAnsi"/>
        </w:rPr>
      </w:pPr>
      <w:r>
        <w:rPr>
          <w:rFonts w:asciiTheme="minorHAnsi" w:hAnsiTheme="minorHAnsi" w:cstheme="minorHAnsi"/>
        </w:rPr>
        <w:t>interest by agreeing to the following: The content and/or presentation of the</w:t>
      </w:r>
    </w:p>
    <w:p w:rsidR="006959B0" w:rsidP="00481AB5">
      <w:pPr>
        <w:contextualSpacing/>
        <w:rPr>
          <w:rFonts w:asciiTheme="minorHAnsi" w:hAnsiTheme="minorHAnsi" w:cstheme="minorHAnsi"/>
        </w:rPr>
      </w:pPr>
      <w:r>
        <w:rPr>
          <w:rFonts w:asciiTheme="minorHAnsi" w:hAnsiTheme="minorHAnsi" w:cstheme="minorHAnsi"/>
        </w:rPr>
        <w:t>information with which Dr. Johnson is involved will promote quality or</w:t>
      </w:r>
    </w:p>
    <w:p w:rsidR="006959B0" w:rsidP="00481AB5">
      <w:pPr>
        <w:contextualSpacing/>
        <w:rPr>
          <w:rFonts w:asciiTheme="minorHAnsi" w:hAnsiTheme="minorHAnsi" w:cstheme="minorHAnsi"/>
        </w:rPr>
      </w:pPr>
      <w:r>
        <w:rPr>
          <w:rFonts w:asciiTheme="minorHAnsi" w:hAnsiTheme="minorHAnsi" w:cstheme="minorHAnsi"/>
        </w:rPr>
        <w:t>improvements in health care and will not promote a specific proprietary</w:t>
      </w:r>
    </w:p>
    <w:p w:rsidR="006959B0" w:rsidP="00481AB5">
      <w:pPr>
        <w:contextualSpacing/>
        <w:rPr>
          <w:rFonts w:asciiTheme="minorHAnsi" w:hAnsiTheme="minorHAnsi" w:cstheme="minorHAnsi"/>
        </w:rPr>
      </w:pPr>
      <w:r>
        <w:rPr>
          <w:rFonts w:asciiTheme="minorHAnsi" w:hAnsiTheme="minorHAnsi" w:cstheme="minorHAnsi"/>
        </w:rPr>
        <w:t>business interest of a commercial interest as defined by the Standards for</w:t>
      </w:r>
    </w:p>
    <w:p w:rsidR="006959B0" w:rsidP="00481AB5">
      <w:pPr>
        <w:contextualSpacing/>
        <w:rPr>
          <w:rFonts w:asciiTheme="minorHAnsi" w:hAnsiTheme="minorHAnsi" w:cstheme="minorHAnsi"/>
        </w:rPr>
      </w:pPr>
      <w:r>
        <w:rPr>
          <w:rFonts w:asciiTheme="minorHAnsi" w:hAnsiTheme="minorHAnsi" w:cstheme="minorHAnsi"/>
        </w:rPr>
        <w:t>Integrity and Independence in Accredited Continuing Education. Content for this</w:t>
      </w:r>
    </w:p>
    <w:p w:rsidR="006959B0" w:rsidP="00481AB5">
      <w:pPr>
        <w:contextualSpacing/>
        <w:rPr>
          <w:rFonts w:asciiTheme="minorHAnsi" w:hAnsiTheme="minorHAnsi" w:cstheme="minorHAnsi"/>
        </w:rPr>
      </w:pPr>
      <w:r>
        <w:rPr>
          <w:rFonts w:asciiTheme="minorHAnsi" w:hAnsiTheme="minorHAnsi" w:cstheme="minorHAnsi"/>
        </w:rPr>
        <w:t>activity, including any presentation of therapeutic options, will be balanced,</w:t>
      </w:r>
    </w:p>
    <w:p w:rsidR="006959B0" w:rsidP="00481AB5">
      <w:pPr>
        <w:contextualSpacing/>
        <w:rPr>
          <w:rFonts w:asciiTheme="minorHAnsi" w:hAnsiTheme="minorHAnsi" w:cstheme="minorHAnsi"/>
        </w:rPr>
      </w:pPr>
      <w:r>
        <w:rPr>
          <w:rFonts w:asciiTheme="minorHAnsi" w:hAnsiTheme="minorHAnsi" w:cstheme="minorHAnsi"/>
        </w:rPr>
        <w:t>evidence-based and commercially unbiased.</w:t>
      </w:r>
    </w:p>
    <w:p w:rsidR="006959B0" w:rsidP="00481AB5">
      <w:pPr>
        <w:contextualSpacing/>
        <w:rPr>
          <w:rFonts w:asciiTheme="minorHAnsi" w:hAnsiTheme="minorHAnsi" w:cstheme="minorHAnsi"/>
        </w:rPr>
      </w:pPr>
      <w:r>
        <w:rPr>
          <w:rFonts w:asciiTheme="minorHAnsi" w:hAnsiTheme="minorHAnsi" w:cstheme="minorHAnsi"/>
        </w:rPr>
        <w:t>All other involved planners, moderators, and</w:t>
      </w:r>
    </w:p>
    <w:p w:rsidR="006959B0" w:rsidP="00481AB5">
      <w:pPr>
        <w:contextualSpacing/>
        <w:rPr>
          <w:rFonts w:asciiTheme="minorHAnsi" w:hAnsiTheme="minorHAnsi" w:cstheme="minorHAnsi"/>
        </w:rPr>
      </w:pPr>
      <w:r>
        <w:rPr>
          <w:rFonts w:asciiTheme="minorHAnsi" w:hAnsiTheme="minorHAnsi" w:cstheme="minorHAnsi"/>
        </w:rPr>
        <w:t>speakers of this activity have no financial relationship(s) with commercial</w:t>
      </w:r>
    </w:p>
    <w:p w:rsidR="006959B0" w:rsidP="00481AB5">
      <w:pPr>
        <w:contextualSpacing/>
        <w:rPr>
          <w:rFonts w:asciiTheme="minorHAnsi" w:hAnsiTheme="minorHAnsi" w:cstheme="minorHAnsi"/>
        </w:rPr>
      </w:pPr>
      <w:r>
        <w:rPr>
          <w:rFonts w:asciiTheme="minorHAnsi" w:hAnsiTheme="minorHAnsi" w:cstheme="minorHAnsi"/>
        </w:rPr>
        <w:t>interests to disclose.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Erin Hertha,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Gloria J Wacks,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ANCC Provider Unit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Autumne B Harding,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P Johnson,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consultant-LifePoint Corporate Services, General Partnership (Relationship has ended) - 11/17/2022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Alaina M Davis,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Eva E Dye,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Ashley B Ried,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Christine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78994</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Gloria Wacks, Erin Hertha</w:t>
      </w:r>
    </w:p>
    <w:p w:rsidR="00A82C4C" w:rsidP="00481AB5">
      <w:pPr>
        <w:contextualSpacing/>
        <w:jc w:val="center"/>
        <w:rPr>
          <w:noProof/>
        </w:rPr>
      </w:pPr>
      <w:r>
        <w:rPr>
          <w:noProof/>
        </w:rPr>
        <w:t>gloria.j.wacks@vumc.org, erin.hertha@vumc.org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