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79212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Conference-2023A-24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Alzheimer's Disease Research Center Consensus Diagnosis Conference-2023A-24 CME APA - 9/11/24 - MRI Imaging in Alzheimer’s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Conference-2023A-24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Alzheimer's Disease Research Center Consensus Diagnosis Conference-2023A-24 CME APA - 9/11/24 - MRI Imaging in Alzheimer’s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September 11, 2024</w:t>
      </w:r>
      <w:r w:rsidR="00BC157D">
        <w:t xml:space="preserve"> </w:t>
      </w:r>
      <w:r w:rsidR="00A41F81">
        <w:t xml:space="preserve"> - </w:t>
      </w:r>
      <w:r w:rsidR="00A41F81">
        <w:t>01:00 September, 11,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using MRI imaging to assess and understand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which areas of the brain are most appropriate to evaluate via MRI for a patient with signs of cognitive impairment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imitations of MRI in determining etiology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using MRI imaging to assess and understand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which areas of the brain are most appropriate to evaluate via MRI for a patient with signs of cognitive impairment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Discuss imitations of MRI in determining etiology of dementia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using MRI imaging to assess and understand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which areas of the brain are most appropriate to evaluate via MRI for a patient with signs of cognitive impairment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imitations of MRI in determining etiology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using MRI imaging to assess and understand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which areas of the brain are most appropriate to evaluate via MRI for a patient with signs of cognitive impairment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Discuss imitations of MRI in determining etiology of dementia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using MRI imaging to assess and understand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1 Discuss which areas of the brain are most appropriate to evaluate via MRI for a patient with signs of cognitive impairment</w:t>
      </w:r>
    </w:p>
    <w:p w:rsidR="00F46F37" w:rsidP="00481AB5">
      <w:pPr>
        <w:contextualSpacing/>
        <w:rPr>
          <w:bCs/>
        </w:rPr>
      </w:pPr>
      <w:r>
        <w:rPr>
          <w:bCs/>
        </w:rPr>
        <w:t>1 Discuss imitations of MRI in determining etiology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1 Discuss using MRI imaging to assess and understand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2 Discuss which areas of the brain are most appropriate to evaluate via MRI for a patient with signs of cognitive impairment</w:t>
      </w:r>
    </w:p>
    <w:p w:rsidR="00F46F37" w:rsidP="00481AB5">
      <w:pPr>
        <w:contextualSpacing/>
        <w:rPr>
          <w:bCs/>
        </w:rPr>
      </w:pPr>
      <w:r>
        <w:rPr>
          <w:bCs/>
        </w:rPr>
        <w:t>3 Discuss imitations of MRI in determining etiology of dementia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Health Policy, Medicine,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Health Policy, Medicine,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Health Policy, Medicine,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T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Fee-Nashville Biosciences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A Newhouse,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Harmsen,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Ellen Koran,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J Bolton,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Houston,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Logan Dumitrescu,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Marissa Gogniat,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79839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Michelle Houston, Elena Griffo, Haley Potts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michelle.houston@vumc.org, elena.griffo@vumc.org, haley.potts@vumc.org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