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Microaggressions - CME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Microaggressions - CME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05:00</w:t>
      </w:r>
      <w:r w:rsidRPr="00145184" w:rsidR="00A17BBD">
        <w:t xml:space="preserve"> June 1, 2023</w:t>
      </w:r>
      <w:r w:rsidR="00BC157D">
        <w:t xml:space="preserve"> </w:t>
      </w:r>
      <w:r w:rsidR="00A41F81">
        <w:t xml:space="preserve"> - </w:t>
      </w:r>
      <w:r w:rsidR="00A41F81">
        <w:t>06:00 June, 1, 2023</w:t>
      </w:r>
      <w:r>
        <w:fldChar w:fldCharType="begin"/>
      </w:r>
      <w:r>
        <w:instrText xml:space="preserve"> IF </w:instrText>
      </w:r>
      <w:r>
        <w:instrText>"</w:instrText>
      </w:r>
      <w:r>
        <w:instrText>Nashville, TN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 xml:space="preserve">Nashville, </w:instrText>
      </w:r>
      <w:r w:rsidR="00442B21">
        <w:instrText>TN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 xml:space="preserve">Nashville, </w:t>
      </w:r>
      <w:r w:rsidR="00442B21">
        <w:t>TN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understand the concept of microagressions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identify examples of microaggressions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understand the appropriate response to microagressions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understand the concept of microagressions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identify examples of microaggressions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understand the appropriate response to microagressions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understand the concept of microagressions</w:t>
      </w:r>
    </w:p>
    <w:p w:rsidR="00F46F37" w:rsidP="00481AB5">
      <w:pPr>
        <w:contextualSpacing/>
        <w:rPr>
          <w:bCs/>
        </w:rPr>
      </w:pPr>
      <w:r>
        <w:rPr>
          <w:bCs/>
        </w:rPr>
        <w:t>2 identify examples of microaggressions</w:t>
      </w:r>
    </w:p>
    <w:p w:rsidR="00F46F37" w:rsidP="00481AB5">
      <w:pPr>
        <w:contextualSpacing/>
        <w:rPr>
          <w:bCs/>
        </w:rPr>
      </w:pPr>
      <w:r>
        <w:rPr>
          <w:bCs/>
        </w:rPr>
        <w:t>3 understand the appropriate response to microagressions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Medicine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Medicine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Medicine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Walter K Clair,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- 12/08/2022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Kristy Sinkfield, MEd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- 02/17/2023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79885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Lauren Long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lauren.long@vumc.org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