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I/DD ECHO: Adult Health Care Training for Clinicians 2023 CME - APA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I/DD ECHO: Adult Health Care Training for Clinicians 2023 CME - APA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September 21, 2023</w:t>
      </w:r>
      <w:r w:rsidR="00BC157D">
        <w:t xml:space="preserve"> </w:t>
      </w:r>
      <w:r w:rsidR="00A41F81">
        <w:t xml:space="preserve"> - </w:t>
      </w:r>
      <w:r w:rsidR="00A41F81">
        <w:t>01:00 September, 21, 2023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Identify specific tools that can be used to support adults with intellectual and developmental disabilities during clinic visits in your practice.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Identify and describe potential diagnostic and treatment methods of medical conditions in individuals with intellectual and developmental disabilities at your practice.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Provide improved support to family caregivers and paid support staff of patients with IDD.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Identify specific tools that can be used to support adults with intellectual and developmental disabilities during clinic visits in your practice.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Identify and describe potential diagnostic and treatment methods of medical conditions in individuals with intellectual and developmental disabilities at your practice.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Provide improved support to family caregivers and paid support staff of patients with IDD.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Better manage co-occurring medical conditions for patients with intellectual and developmental disabilities.</w:t>
      </w:r>
    </w:p>
    <w:p w:rsidR="00F46F37" w:rsidP="00481AB5">
      <w:pPr>
        <w:contextualSpacing/>
        <w:rPr>
          <w:bCs/>
        </w:rPr>
      </w:pPr>
      <w:r>
        <w:rPr>
          <w:bCs/>
        </w:rPr>
        <w:t>1 Identify specific tools that can be used to support adults with intellectual and developmental disabilities during clinic visits in your practice.</w:t>
      </w:r>
    </w:p>
    <w:p w:rsidR="00F46F37" w:rsidP="00481AB5">
      <w:pPr>
        <w:contextualSpacing/>
        <w:rPr>
          <w:bCs/>
        </w:rPr>
      </w:pPr>
      <w:r>
        <w:rPr>
          <w:bCs/>
        </w:rPr>
        <w:t>1 Identify and describe potential diagnostic and treatment methods of medical conditions in individuals with intellectual and developmental disabilities at your practice.</w:t>
      </w:r>
    </w:p>
    <w:p w:rsidR="00F46F37" w:rsidP="00481AB5">
      <w:pPr>
        <w:contextualSpacing/>
        <w:rPr>
          <w:bCs/>
        </w:rPr>
      </w:pPr>
      <w:r>
        <w:rPr>
          <w:bCs/>
        </w:rPr>
        <w:t>2 Better manage co-occurring mental and behavioral health conditions for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3 Provide more appropriate support for patients with IDD in clinic settings.</w:t>
      </w:r>
    </w:p>
    <w:p w:rsidR="00F46F37" w:rsidP="00481AB5">
      <w:pPr>
        <w:contextualSpacing/>
        <w:rPr>
          <w:bCs/>
        </w:rPr>
      </w:pPr>
      <w:r>
        <w:rPr>
          <w:bCs/>
        </w:rPr>
        <w:t>4 Provide additional information and resources for community supports and services to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5 Provide improved support to family caregivers and paid support staff of patients with IDD.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Beth A Malow,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Fee-Neurim Pharmaceuticals - 10/13/2022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Linda D Brown,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Mavara Agrawal 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- 09/07/2023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80635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Sally Furukawa, Janet Shouse, Kasey Fitzpatrick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sally.furukawa@vumc.org, janet.shouse@vumc.org, kasey.fitzpatrick@vumc.org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