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47th Annual Contemporary Clinical Neurology Symposium - CME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47th Annual Contemporary Clinical Neurology Symposium - CME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July 15, 2024</w:t>
      </w:r>
      <w:r w:rsidR="00BC157D">
        <w:t xml:space="preserve"> </w:t>
      </w:r>
      <w:r w:rsidR="00A41F81">
        <w:t xml:space="preserve"> - </w:t>
      </w:r>
      <w:r w:rsidR="00A41F81">
        <w:t>01:00 July, 19,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20.00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20.00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20.00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20.00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understand evaluation and diagnosis of cognitive, sleep, and neuromuscular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evidence-based management strategies for cognitive, sleep, and neuromuscular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3 understand implications of potential federal policy changes related to recentley passed legislation. 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understand evaluation and diagnosis of cognitive, sleep, and neuromuscular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evidence-based management strategies for cognitive, sleep, and neuromuscular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3 understand implications of potential federal policy changes related to recentley passed legislation. 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understand evaluation and diagnosis of cognitive, sleep, and neuromuscular disorders.</w:t>
      </w:r>
    </w:p>
    <w:p w:rsidR="00F46F37" w:rsidP="00481AB5">
      <w:pPr>
        <w:contextualSpacing/>
        <w:rPr>
          <w:bCs/>
        </w:rPr>
      </w:pPr>
      <w:r>
        <w:rPr>
          <w:bCs/>
        </w:rPr>
        <w:t>2 describe evidence-based management strategies for cognitive, sleep, and neuromuscular disorders.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3 understand implications of potential federal policy changes related to recentley passed legislation.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Neurology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Commercial Support - AbbVie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AstraZeneca--Select--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System generated reversal as part of an adjustment - AstraZeneca--Select--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AstraZeneca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CSL Behring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Eisai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Pfizer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PTC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 w:rsidR="00B70A06">
        <w:rPr>
          <w:rFonts w:asciiTheme="minorHAnsi" w:hAnsiTheme="minorHAnsi" w:cstheme="minorHAnsi"/>
          <w:noProof/>
        </w:rPr>
        <w:instrText>Commercial Support</w:instrText>
      </w:r>
      <w:r>
        <w:rPr>
          <w:rFonts w:asciiTheme="minorHAnsi" w:hAnsiTheme="minorHAnsi" w:cstheme="minorHAnsi"/>
        </w:rPr>
        <w:instrText xml:space="preserve"> - AbbVie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AstraZeneca--Select--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System generated reversal as part of an adjustment - AstraZeneca--Select--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AstraZeneca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CSL Behring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Eisai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Pfizer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PTC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t>Commercial Support</w:t>
      </w:r>
      <w:r>
        <w:rPr>
          <w:rFonts w:asciiTheme="minorHAnsi" w:hAnsiTheme="minorHAnsi" w:cstheme="minorHAnsi"/>
        </w:rPr>
        <w:t xml:space="preserve"> - AbbVie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AstraZeneca--Select--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 generated reversal as part of an adjustment - AstraZeneca--Select--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AstraZeneca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CSL Behring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Eisai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Pfizer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PTC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Gifford,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C Peltier,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etc.-Alnylam|Membership on Advisory Committees or Review Panels, Board Membership, etc.-Argenx|Consulting Fee-CSL Behring|Grant or research support-NIH Neuronext PI|Grant or research support-CSL Behring|Membership on Advisory Committees or Review Panels, Board Membership, etc.-Astrazeneca|Speakers Bureau-Catalyst (Relationship has ended) - 07/04/2024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Dane M Chetkovich,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E Mcdonell,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Fee-Teva Pharmaceutical (Relationship has ended) - 06/27/2024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Philip D Charles,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Fee-Revance|Grant or research support-Novartis|Consulting Fee-Kyowa Kirin (Relationship has ended)|Consulting Fee-Iota (Relationship has ended)|Consulting Fee-Alliance for Patient Access|Grant or research support-BlueRock|Grant or research support-AskPD|Grant or research support-Buckwang|Grant or research support-Inhibikase|Grant or research support-Jazz Pharma|Grant or research support-Merz|Grant or research support-Ipsen|Grant or research support-AbbVie|Consulting Fee-AbbVie - 04/28/2024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Francesca R Bagnato,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etc.-Sanofi|Membership on Advisory Committees or Review Panels, Board Membership, etc.-EMD Serono|Grant or research support-Biogen|Membership on Advisory Committees or Review Panels, Board Membership, etc.-janssen pharmaceuticals (Relationship has ended)|Grant or research support-EMD Serono - 09/28/2023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E Eaton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Kelly Harper, BPS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Administrator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Curfman,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Erik Roberson,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Paid consultant-Lilly|Royalties or Patent Beneficiary-Genentch|Consulting Fee-AGTC (Relationship has ended) - 09/29/2023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Robert Pascuzzi,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- 06/04/2024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80641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Kelly Harper, Lily Venditti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kelly.a.harper@vumc.org, lily.j.venditti@vumc.org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