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Promoting Professionalism: Addressing Behaviors that Undermine a Culture of Safety and Respect - 2024 CME NCPD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Promoting Professionalism: Addressing Behaviors that Undermine a Culture of Safety and Respect - 2024 CME NCPD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03:00</w:t>
      </w:r>
      <w:r w:rsidRPr="00145184" w:rsidR="00A17BBD">
        <w:t xml:space="preserve"> April 15, 2024</w:t>
      </w:r>
      <w:r w:rsidR="00BC157D">
        <w:t xml:space="preserve"> </w:t>
      </w:r>
      <w:r w:rsidR="00A41F81">
        <w:t xml:space="preserve"> - </w:t>
      </w:r>
      <w:r w:rsidR="00A41F81">
        <w:t>02:00 April, 16, 2024</w:t>
      </w:r>
      <w:r>
        <w:fldChar w:fldCharType="begin"/>
      </w:r>
      <w:r>
        <w:instrText xml:space="preserve"> IF </w:instrText>
      </w:r>
      <w:r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8.25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8.25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bCs/>
        </w:rPr>
        <w:t>Vanderbilt University Medical Center, Nursing Education and Professional Development, is accredited as a provider of</w:t>
      </w:r>
      <w:r>
        <w:rPr>
          <w:bCs/>
        </w:rPr>
        <w:t xml:space="preserve"> </w:t>
      </w:r>
      <w:r w:rsidRPr="00D004FB">
        <w:rPr>
          <w:bCs/>
        </w:rPr>
        <w:t>nursing continuing professional development by the American Nurses Credentialing Center’s Commission on Accreditation.</w:t>
      </w:r>
    </w:p>
    <w:p w:rsidR="00D004FB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072CAB">
        <w:rPr>
          <w:bCs/>
        </w:rPr>
        <w:fldChar w:fldCharType="begin"/>
      </w:r>
      <w:r w:rsidR="00072CAB">
        <w:rPr>
          <w:bCs/>
        </w:rPr>
        <w:instrText xml:space="preserve"> IF </w:instrText>
      </w:r>
      <w:r w:rsidR="00072CAB">
        <w:rPr>
          <w:bCs/>
        </w:rPr>
        <w:instrText>0.00</w:instrText>
      </w:r>
      <w:r w:rsidR="00072CAB">
        <w:rPr>
          <w:bCs/>
        </w:rPr>
        <w:instrText xml:space="preserve"> &gt; 0 "</w:instrText>
      </w:r>
      <w:r w:rsidRPr="00072CAB" w:rsid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8.25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8.25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8.25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8.25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instrText>8.25</w:instrText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 w:rsidR="00481AB5">
        <w:rPr>
          <w:bCs/>
        </w:rPr>
        <w:t xml:space="preserve">This activity is designated to award a maximum of </w:t>
      </w:r>
      <w:r w:rsidR="00481AB5">
        <w:rPr>
          <w:bCs/>
        </w:rPr>
        <w:t>8.25</w:t>
      </w:r>
      <w:r w:rsidR="00481AB5">
        <w:rPr>
          <w:bCs/>
        </w:rPr>
        <w:t xml:space="preserve"> ANCC contact hour(s).</w:t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Discuss the relationships between behaviors that undermine a culture of safety and suboptimal outcomes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Describe a method that may be used for identifying professionals with a pattern of behaviors that undermine a culture of safety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Identify a range of behaviors that undermine a culture of safety and describe a “professional accountability pyramid”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Describe an evidence-based approach for addressing behaviors that undermine a culture of safety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Discuss three graduated levels of interventions for addressing behaviors that undermine a culture of safety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6 Consider pertinent legal issues in addressing behaviors that undermine a culture of safety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Discuss the relationships between behaviors that undermine a culture of safety and suboptimal outcomes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Describe a method that may be used for identifying professionals with a pattern of behaviors that undermine a culture of safety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Identify a range of behaviors that undermine a culture of safety and describe a “professional accountability pyramid”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Describe an evidence-based approach for addressing behaviors that undermine a culture of safety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Discuss three graduated levels of interventions for addressing behaviors that undermine a culture of safety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6 Consider pertinent legal issues in addressing behaviors that undermine a culture of safety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Cs/>
        </w:rPr>
        <w:t>pyramid</w:t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Other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Other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Other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financial relationships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Gerald B Hickson,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Content Expert,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Speakers Bureau-Medtronic - 06/12/2023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William Martinez,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support-National Institutes of Health|Grant or research support-Agency for Healthcare Research and Quality - 08/27/2023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William O Cooper,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- 12/06/2023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Lynn Webb,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Faculty,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- 03/13/2024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Charles E Reiter III, JD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Content Expert,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- 02/23/2024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Tom Catron,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Faculty,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- 06/02/2023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Heather Davidson,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Faculty,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- 06/02/2023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Tom Doub,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Faculty, Other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- 12/06/2023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Mercedes Panzer, 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Other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Cynthia Baldwin, MS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Faculty, Other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Eric A Abshire Sr., MS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Other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- 06/02/2023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CARLA I ( HAACK,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Content Expert,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Alice Krumm, DNP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- 12/06/2023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 xml:space="preserve">Craig Breedlove, Master's of Science 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Other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- 06/02/2023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Ty Wheeler, MS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Other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- 10/04/2023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Elisa Arespacochaga, MBA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Other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- 12/06/2023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Callie Tate, MEd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- 06/02/2023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Aaron Brown, MS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- 06/02/2023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Courtney Necessary, MBA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- 12/21/2023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85956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Mercedes Panzer, Craig Breedlove, Jillian Russell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mercedes.panzer@vumc.org, craig.a.breedlove@vumc.org, jillian.russell@vumc.org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