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Carolyn Smith Uveitis Symposium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Carolyn Smith Uveitis Symposium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March 22, 2024</w:t>
      </w:r>
      <w:r w:rsidR="00BC157D">
        <w:t xml:space="preserve"> </w:t>
      </w:r>
      <w:r w:rsidR="00A41F81">
        <w:t xml:space="preserve"> - </w:t>
      </w:r>
      <w:r w:rsidR="00A41F81">
        <w:t>01:00 March, 22,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3.50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 xml:space="preserve">1 Describe early diagnosis of uveitis.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when to apply advanced diagnostic testing.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Review infectious lab testing required for uveitis.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Evaluate prompt and aggressive treatment institution.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5 Identify when and how to involve a referral team.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 Describe early diagnosis of uveitis.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when to apply advanced diagnostic testing.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Review infectious lab testing required for uveitis.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Evaluate prompt and aggressive treatment institution.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5 Identify when and how to involve a referral team.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 xml:space="preserve">1 Describe early diagnosis of uveitis. </w:t>
      </w:r>
    </w:p>
    <w:p w:rsidR="00F46F37" w:rsidP="00481AB5">
      <w:pPr>
        <w:contextualSpacing/>
        <w:rPr>
          <w:bCs/>
        </w:rPr>
      </w:pPr>
      <w:r>
        <w:rPr>
          <w:bCs/>
        </w:rPr>
        <w:t>2 Discuss when to apply advanced diagnostic testing.</w:t>
      </w:r>
    </w:p>
    <w:p w:rsidR="00F46F37" w:rsidP="00481AB5">
      <w:pPr>
        <w:contextualSpacing/>
        <w:rPr>
          <w:bCs/>
        </w:rPr>
      </w:pPr>
      <w:r>
        <w:rPr>
          <w:bCs/>
        </w:rPr>
        <w:t>3 Review infectious lab testing required for uveitis.</w:t>
      </w:r>
    </w:p>
    <w:p w:rsidR="00F46F37" w:rsidP="00481AB5">
      <w:pPr>
        <w:contextualSpacing/>
        <w:rPr>
          <w:bCs/>
        </w:rPr>
      </w:pPr>
      <w:r>
        <w:rPr>
          <w:bCs/>
        </w:rPr>
        <w:t>4 Evaluate prompt and aggressive treatment institution.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5 Identify when and how to involve a referral team.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Ophthalmology And Visual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Ophthalmology And Visual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Ophthalmology And Visual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J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Sapna S Gangaputra,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Silvia M Clavijo, MHA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Howard R Day,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Edmund Tsui,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Fee-Eyepoint|Consulting Fee-Oculis|Consulting Fee-Kowa|Grant or research support-Pfizer - 03/05/2024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Sean Berkowitz,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Jeremy B Hatcher,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Bailey,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Sonya Besagar,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Lucia Sobrin,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Russell W Read,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- 12/03/2023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87702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Silvia Clavijo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silvia.m.clavijo@vumc.org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