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ICARE Monthly Case Conference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ICARE Monthly Case Conference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March 7, 2024</w:t>
      </w:r>
      <w:r w:rsidR="00BC157D">
        <w:t xml:space="preserve"> </w:t>
      </w:r>
      <w:r w:rsidR="00A41F81">
        <w:t xml:space="preserve"> - </w:t>
      </w:r>
      <w:r w:rsidR="00A41F81">
        <w:t>12:30 March, 7,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To learn about current topics and issues facing providers in the field of genetics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To learn about current topics and issues facing providers in the field of genetics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To discuss current cases, given the provider the opportunity of in depth analysis and discussion, thus offering educational value to other providers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To learn how to obtain, organize and present a thorough hereditary cancer risk assessment </w:t>
      </w:r>
    </w:p>
    <w:p w:rsidR="00F46F37" w:rsidP="00481AB5">
      <w:pPr>
        <w:contextualSpacing/>
        <w:rPr>
          <w:bCs/>
        </w:rPr>
      </w:pPr>
      <w:r>
        <w:rPr>
          <w:bCs/>
        </w:rPr>
        <w:t>3 To have an in depth understanding of psychosocial issues related to genetic testing</w:t>
      </w:r>
    </w:p>
    <w:p w:rsidR="00F46F37" w:rsidP="00481AB5">
      <w:pPr>
        <w:contextualSpacing/>
        <w:rPr>
          <w:bCs/>
        </w:rPr>
      </w:pPr>
      <w:r>
        <w:rPr>
          <w:bCs/>
        </w:rPr>
        <w:t>4 To learn how genetic testing may impact patient management including gene-specifi c therapies</w:t>
      </w:r>
    </w:p>
    <w:p w:rsidR="00F46F37" w:rsidP="00481AB5">
      <w:pPr>
        <w:contextualSpacing/>
        <w:rPr>
          <w:bCs/>
        </w:rPr>
      </w:pPr>
      <w:r>
        <w:rPr>
          <w:bCs/>
        </w:rPr>
        <w:t>5 To learn about current topics and issues facing providers in the field of genetics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Tuya Pal,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etc.-Natera (Relationship has ended) - 11/14/2023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 H Park,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Weidner,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- 10/11/2023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88049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Claudia Tinkle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claudia.tinkle@vumc.org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