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Annual Vanderbilt Stroke and Neuroscience Symposium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Annual Vanderbilt Stroke and Neuroscience Symposium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07:45</w:t>
      </w:r>
      <w:r w:rsidRPr="00145184" w:rsidR="00A17BBD">
        <w:t xml:space="preserve"> April 4, 2024</w:t>
      </w:r>
      <w:r w:rsidR="00BC157D">
        <w:t xml:space="preserve"> </w:t>
      </w:r>
      <w:r w:rsidR="00A41F81">
        <w:t xml:space="preserve"> - </w:t>
      </w:r>
      <w:r w:rsidR="00A41F81">
        <w:t>05:15 April, 4, 2024</w:t>
      </w:r>
      <w:r>
        <w:fldChar w:fldCharType="begin"/>
      </w:r>
      <w:r>
        <w:instrText xml:space="preserve"> IF </w:instrText>
      </w:r>
      <w:r>
        <w:instrText>"</w:instrText>
      </w:r>
      <w:r>
        <w:instrText>Nashville, TN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 xml:space="preserve">Nashville, </w:instrText>
      </w:r>
      <w:r w:rsidR="00442B21">
        <w:instrText>TN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 xml:space="preserve">Nashville, </w:t>
      </w:r>
      <w:r w:rsidR="00442B21">
        <w:t>TN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7.50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7.50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7.50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7.50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Optimize preventive strategies for patients with risk factors for stroke, and prior stroke or 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Master advances in acute management of stroke, both intravenous tPA and intra-arterial procedures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Review diagnostic modalities, emphasizing new developments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Refine understanding of stroke rehabilitation, emphasizing asphasia and dysphagia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Discuss quality improvement and systems of care, particularly regarding disparities in care for vulnerable and underserved populations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Review new clinical trial results and guidelines intracerebral hemorrhage care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Optimize preventive strategies for patients with risk factors for stroke, and prior stroke or 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Master advances in acute management of stroke, both intravenous tPA and intra-arterial procedures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Review diagnostic modalities, emphasizing new developments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Refine understanding of stroke rehabilitation, emphasizing asphasia and dysphagia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Discuss quality improvement and systems of care, particularly regarding disparities in care for vulnerable and underserved populations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Review new clinical trial results and guidelines intracerebral hemorrhage care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Optimize preventive strategies for patients with risk factors for stroke, and prior stroke or TIA</w:t>
      </w:r>
    </w:p>
    <w:p w:rsidR="00F46F37" w:rsidP="00481AB5">
      <w:pPr>
        <w:contextualSpacing/>
        <w:rPr>
          <w:bCs/>
        </w:rPr>
      </w:pPr>
      <w:r>
        <w:rPr>
          <w:bCs/>
        </w:rPr>
        <w:t>2 Master advances in acute management of stroke, both intravenous tPA and intra-arterial procedures</w:t>
      </w:r>
    </w:p>
    <w:p w:rsidR="00F46F37" w:rsidP="00481AB5">
      <w:pPr>
        <w:contextualSpacing/>
        <w:rPr>
          <w:bCs/>
        </w:rPr>
      </w:pPr>
      <w:r>
        <w:rPr>
          <w:bCs/>
        </w:rPr>
        <w:t>3 Review diagnostic modalities, emphasizing new developments</w:t>
      </w:r>
    </w:p>
    <w:p w:rsidR="00F46F37" w:rsidP="00481AB5">
      <w:pPr>
        <w:contextualSpacing/>
        <w:rPr>
          <w:bCs/>
        </w:rPr>
      </w:pPr>
      <w:r>
        <w:rPr>
          <w:bCs/>
        </w:rPr>
        <w:t>4 Refine understanding of stroke rehabilitation, emphasizing asphasia and dysphagia</w:t>
      </w:r>
    </w:p>
    <w:p w:rsidR="00F46F37" w:rsidP="00481AB5">
      <w:pPr>
        <w:contextualSpacing/>
        <w:rPr>
          <w:bCs/>
        </w:rPr>
      </w:pPr>
      <w:r>
        <w:rPr>
          <w:bCs/>
        </w:rPr>
        <w:t>5 Discuss quality improvement and systems of care, particularly regarding disparities in care for vulnerable and underserved populations</w:t>
      </w:r>
    </w:p>
    <w:p w:rsidR="00F46F37" w:rsidP="00481AB5">
      <w:pPr>
        <w:contextualSpacing/>
        <w:rPr>
          <w:bCs/>
        </w:rPr>
      </w:pPr>
      <w:r>
        <w:rPr>
          <w:bCs/>
        </w:rPr>
        <w:t>6 Review new clinical trial results and guidelines intracerebral hemorrhage care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Anesthesiology, Emergency Medicine, Neurology, Physical Medicine &amp; Rehabilitation, Hearing And Speech Sciences, Medicine, Psychiatry And Behavioral Sciences, Neurological Surgery, Nursing, Palliative Care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Anesthesiology, Emergency Medicine, Neurology, Physical Medicine &amp; Rehabilitation, Hearing And Speech Sciences, Medicine, Psychiatry And Behavioral Sciences, Neurological Surgery, Nursing, Palliative Care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Anesthesiology, Emergency Medicine, Neurology, Physical Medicine &amp; Rehabilitation, Hearing And Speech Sciences, Medicine, Psychiatry And Behavioral Sciences, Neurological Surgery, Nursing, Palliative Care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T Froehler,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support-Siemens|Advisor-Balt|Advisor-Medtronic - 12/15/2023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Vivek H Patel,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Howard S Kirshner,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Matthew S Schrag,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Fee-Guidepoint|Consulting Fee-Raymond James (Relationship has ended) - 03/04/2024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Nandakumar Bangalore Vittal,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Shawniqua Williams Roberson 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Kiersten Espaillat, DNP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Mary K Lamons, MPA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Laura Zabalgoitia,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Eesha Singh,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Eesha Oza,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Jillian M Berkman,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Fee-MedZown - 01/12/2024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Elizabeth Franco,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Tiffany Duraney,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Gustavo Pradilla,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support-NICO Corporation (Relationship has ended)|Consulting Fee-Stryker - 03/08/2024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Nicola Rutherford,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Annie Thornhill,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Anne Hege Aamodt,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Fee-AbbVie (Relationship has ended)|Consulting Fee-Lundbeck (Relationship has ended)|Consulting Fee-Novartis (Relationship has ended)|Consulting Fee-Pfizer (Relationship has ended)|Consulting Fee-Novartis (Relationship has ended) - 03/21/2024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Anna V Kasdan,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Samuel Bogdanov, BE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T Moore,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Heather Hale, BSN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Elena Solopova,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- 03/21/2024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93982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Tiffany Duraney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tiffany.a.duraney@vumc.org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