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Admiral Rachel Levine: Transgender Health and Policy in Tennessee, the South, and the United States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Admiral Rachel Levine: Transgender Health and Policy in Tennessee, the South, and the United States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12:00</w:t>
      </w:r>
      <w:r w:rsidRPr="00145184" w:rsidR="00A17BBD">
        <w:t xml:space="preserve"> April 10, 2024</w:t>
      </w:r>
      <w:r w:rsidR="00BC157D">
        <w:t xml:space="preserve"> </w:t>
      </w:r>
      <w:r w:rsidR="00A41F81">
        <w:t xml:space="preserve"> - </w:t>
      </w:r>
      <w:r w:rsidR="00A41F81">
        <w:t>01:00 April, 10, 2024</w:t>
      </w:r>
      <w:r>
        <w:fldChar w:fldCharType="begin"/>
      </w:r>
      <w:r>
        <w:instrText xml:space="preserve"> IF </w:instrText>
      </w:r>
      <w:r>
        <w:instrText>"</w:instrText>
      </w:r>
      <w:r>
        <w:instrText>Light Hall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Light Hall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Light Hall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1.00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Activity,PI CME activity</w:instrText>
      </w:r>
      <w:r>
        <w:instrText>"</w:instrText>
      </w:r>
      <w:r>
        <w:instrText xml:space="preserve"> &lt;&gt; "" "</w:instrText>
      </w:r>
      <w:r>
        <w:instrText>live activity,pi cme activity</w:instrText>
      </w:r>
      <w:r>
        <w:instrText xml:space="preserve">" "activity" </w:instrText>
      </w:r>
      <w:r>
        <w:fldChar w:fldCharType="separate"/>
      </w:r>
      <w:r>
        <w:instrText>live activity,pi cme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1.00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activity,pi cme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1.00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Describe transgender health disparities in Tennessee, the South, and the United States.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Identify policies and practices that could reduce health disparities for the transgender population.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Identify best practices for gender-affirming care.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Review social determinants of health that affect the health and wellbeing of transgender people.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Describe transgender health disparities in Tennessee, the South, and the United States.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Identify policies and practices that could reduce health disparities for the transgender population.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Identify best practices for gender-affirming care.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Review social determinants of health that affect the health and wellbeing of transgender people.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Describe transgender health disparities in Tennessee, the South, and the United States.</w:t>
      </w:r>
    </w:p>
    <w:p w:rsidR="00F46F37" w:rsidP="00481AB5">
      <w:pPr>
        <w:contextualSpacing/>
        <w:rPr>
          <w:bCs/>
        </w:rPr>
      </w:pPr>
      <w:r>
        <w:rPr>
          <w:bCs/>
        </w:rPr>
        <w:t>2 Identify policies and practices that could reduce health disparities for the transgender population.</w:t>
      </w:r>
    </w:p>
    <w:p w:rsidR="00F46F37" w:rsidP="00481AB5">
      <w:pPr>
        <w:contextualSpacing/>
        <w:rPr>
          <w:bCs/>
        </w:rPr>
      </w:pPr>
      <w:r>
        <w:rPr>
          <w:bCs/>
        </w:rPr>
        <w:t>3 Identify best practices for gender-affirming care.</w:t>
      </w:r>
    </w:p>
    <w:p w:rsidR="00F46F37" w:rsidP="00481AB5">
      <w:pPr>
        <w:contextualSpacing/>
        <w:rPr>
          <w:bCs/>
        </w:rPr>
      </w:pPr>
      <w:r>
        <w:rPr>
          <w:bCs/>
        </w:rPr>
        <w:t>4 Review social determinants of health that affect the health and wellbeing of transgender people.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Pediatrics, Health Policy, Medicine, Surgery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Pediatrics, Health Policy, Medicine, Surgery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Pediatrics, Health Policy, Medicine, Surgery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Kevin D Niswender,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Director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- 11/09/2023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Rachel Levine,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- 03/11/2024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94334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Del Zimmerman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del.r.zimmerman@vumc.org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