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A82C4C" w:rsidRPr="00FD3D76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t>V</w:t>
      </w:r>
      <w:r w:rsidRPr="00FD3D76">
        <w:rPr>
          <w:b/>
          <w:sz w:val="18"/>
          <w:szCs w:val="18"/>
        </w:rPr>
        <w:t>anderbilt University Medical Center</w:t>
      </w:r>
      <w:r w:rsidRPr="00FD3D76" w:rsidR="007F5842">
        <w:rPr>
          <w:b/>
          <w:sz w:val="18"/>
          <w:szCs w:val="18"/>
        </w:rPr>
        <w:t xml:space="preserve"> </w:t>
      </w:r>
    </w:p>
    <w:p w:rsidR="00A82C4C" w:rsidP="00481AB5">
      <w:pPr>
        <w:contextualSpacing/>
        <w:rPr>
          <w:b/>
          <w:sz w:val="18"/>
          <w:szCs w:val="18"/>
        </w:rPr>
      </w:pP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IF 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>"</w:instrText>
      </w:r>
      <w:r w:rsidRPr="00FD3D76">
        <w:rPr>
          <w:b/>
          <w:sz w:val="18"/>
          <w:szCs w:val="18"/>
        </w:rPr>
        <w:instrText xml:space="preserve"> &lt;&gt; "" "</w:instrText>
      </w:r>
      <w:r w:rsidRPr="00FD3D76">
        <w:rPr>
          <w:b/>
          <w:sz w:val="18"/>
          <w:szCs w:val="18"/>
        </w:rPr>
        <w:fldChar w:fldCharType="begin"/>
      </w:r>
      <w:r w:rsidRPr="00FD3D76">
        <w:rPr>
          <w:b/>
          <w:sz w:val="18"/>
          <w:szCs w:val="18"/>
        </w:rPr>
        <w:instrText xml:space="preserve"> MERGEFIELD JointProviderName \* MERGEFORMAT </w:instrText>
      </w:r>
      <w:r w:rsidRPr="00FD3D76">
        <w:rPr>
          <w:b/>
          <w:sz w:val="18"/>
          <w:szCs w:val="18"/>
        </w:rPr>
        <w:fldChar w:fldCharType="separate"/>
      </w:r>
      <w:r w:rsidR="00B70A06">
        <w:rPr>
          <w:b/>
          <w:noProof/>
          <w:sz w:val="18"/>
          <w:szCs w:val="18"/>
        </w:rPr>
        <w:instrText>«JointProviderName»</w:instrText>
      </w:r>
      <w:r w:rsidRPr="00FD3D76">
        <w:rPr>
          <w:b/>
          <w:sz w:val="18"/>
          <w:szCs w:val="18"/>
        </w:rPr>
        <w:fldChar w:fldCharType="end"/>
      </w:r>
      <w:r w:rsidRPr="00FD3D76">
        <w:rPr>
          <w:b/>
          <w:sz w:val="18"/>
          <w:szCs w:val="18"/>
        </w:rPr>
        <w:instrText>" "</w:instrText>
      </w:r>
      <w:r w:rsidRPr="00FD3D76">
        <w:rPr>
          <w:b/>
          <w:sz w:val="18"/>
          <w:szCs w:val="18"/>
        </w:rPr>
        <w:instrText xml:space="preserve">" </w:instrText>
      </w:r>
      <w:r w:rsidRPr="00FD3D76" w:rsidR="00442B21">
        <w:rPr>
          <w:b/>
          <w:sz w:val="18"/>
          <w:szCs w:val="18"/>
        </w:rPr>
        <w:fldChar w:fldCharType="separate"/>
      </w:r>
      <w:r w:rsidRPr="00FD3D76">
        <w:rPr>
          <w:b/>
          <w:sz w:val="18"/>
          <w:szCs w:val="18"/>
        </w:rPr>
        <w:fldChar w:fldCharType="end"/>
      </w:r>
    </w:p>
    <w:p w:rsidR="00A74FC1" w:rsidRPr="00A74FC1" w:rsidP="00481AB5">
      <w:pPr>
        <w:contextualSpacing/>
        <w:rPr>
          <w:b/>
          <w:sz w:val="10"/>
          <w:szCs w:val="10"/>
        </w:rPr>
      </w:pPr>
    </w:p>
    <w:p w:rsidR="00A74FC1" w:rsidP="00481AB5">
      <w:pPr>
        <w:contextualSpacing/>
        <w:rPr>
          <w:b/>
          <w:sz w:val="40"/>
          <w:szCs w:val="40"/>
        </w:rPr>
      </w:pPr>
      <w:r w:rsidRPr="00A74FC1">
        <w:rPr>
          <w:b/>
          <w:sz w:val="40"/>
          <w:szCs w:val="40"/>
        </w:rPr>
        <w:fldChar w:fldCharType="begin"/>
      </w:r>
      <w:r w:rsidRPr="00A74FC1">
        <w:rPr>
          <w:b/>
          <w:sz w:val="40"/>
          <w:szCs w:val="40"/>
        </w:rPr>
        <w:instrText xml:space="preserve"> IF 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>"</w:instrText>
      </w:r>
      <w:r w:rsidRPr="00A74FC1">
        <w:rPr>
          <w:b/>
          <w:sz w:val="40"/>
          <w:szCs w:val="40"/>
        </w:rPr>
        <w:instrText xml:space="preserve"> &lt;&gt; "" "</w:instrText>
      </w:r>
      <w:r w:rsidRPr="00A74FC1">
        <w:rPr>
          <w:b/>
          <w:sz w:val="52"/>
          <w:szCs w:val="52"/>
        </w:rPr>
        <w:fldChar w:fldCharType="begin"/>
      </w:r>
      <w:r w:rsidRPr="00A74FC1">
        <w:rPr>
          <w:b/>
          <w:sz w:val="52"/>
          <w:szCs w:val="52"/>
        </w:rPr>
        <w:instrText xml:space="preserve"> MERGEFIELD ParentName </w:instrText>
      </w:r>
      <w:r>
        <w:rPr>
          <w:b/>
          <w:sz w:val="52"/>
          <w:szCs w:val="52"/>
        </w:rPr>
        <w:fldChar w:fldCharType="separate"/>
      </w:r>
      <w:r w:rsidR="00B70A06">
        <w:rPr>
          <w:b/>
          <w:noProof/>
          <w:sz w:val="52"/>
          <w:szCs w:val="52"/>
        </w:rPr>
        <w:instrText>«ParentName»</w:instrText>
      </w:r>
      <w:r w:rsidRPr="00A74FC1">
        <w:rPr>
          <w:b/>
          <w:sz w:val="52"/>
          <w:szCs w:val="52"/>
        </w:rPr>
        <w:fldChar w:fldCharType="end"/>
      </w:r>
    </w:p>
    <w:p w:rsidR="00B70A06" w:rsidP="00481AB5">
      <w:pPr>
        <w:contextualSpacing/>
        <w:rPr>
          <w:b/>
          <w:noProof/>
          <w:sz w:val="40"/>
          <w:szCs w:val="40"/>
        </w:rPr>
      </w:pPr>
      <w:r>
        <w:rPr>
          <w:b/>
          <w:sz w:val="40"/>
          <w:szCs w:val="40"/>
        </w:rPr>
        <w:fldChar w:fldCharType="begin"/>
      </w:r>
      <w:r>
        <w:rPr>
          <w:b/>
          <w:sz w:val="40"/>
          <w:szCs w:val="40"/>
        </w:rPr>
        <w:instrText xml:space="preserve"> MERGEFIELD EventName </w:instrText>
      </w:r>
      <w:r>
        <w:rPr>
          <w:b/>
          <w:sz w:val="40"/>
          <w:szCs w:val="40"/>
        </w:rPr>
        <w:fldChar w:fldCharType="separate"/>
      </w:r>
      <w:r>
        <w:rPr>
          <w:b/>
          <w:noProof/>
          <w:sz w:val="40"/>
          <w:szCs w:val="40"/>
        </w:rPr>
        <w:instrText>«EventName»</w:instrText>
      </w:r>
      <w:r>
        <w:rPr>
          <w:b/>
          <w:sz w:val="40"/>
          <w:szCs w:val="40"/>
        </w:rPr>
        <w:fldChar w:fldCharType="end"/>
      </w:r>
      <w:r w:rsidRPr="00A74FC1" w:rsidR="00FD3D76">
        <w:rPr>
          <w:b/>
          <w:sz w:val="40"/>
          <w:szCs w:val="40"/>
        </w:rPr>
        <w:instrText>" "</w:instrText>
      </w:r>
      <w:r>
        <w:rPr>
          <w:b/>
          <w:sz w:val="52"/>
          <w:szCs w:val="52"/>
        </w:rPr>
        <w:instrText>STAT-MD Training Workshop 2024 - CME APA</w:instrText>
      </w:r>
      <w:r w:rsidRPr="00A74FC1" w:rsidR="00FD3D76">
        <w:rPr>
          <w:b/>
          <w:sz w:val="40"/>
          <w:szCs w:val="40"/>
        </w:rPr>
        <w:instrText>"</w:instrText>
      </w:r>
      <w:r>
        <w:rPr>
          <w:b/>
          <w:sz w:val="40"/>
          <w:szCs w:val="40"/>
        </w:rPr>
        <w:fldChar w:fldCharType="separate"/>
      </w:r>
      <w:r>
        <w:rPr>
          <w:b/>
          <w:sz w:val="52"/>
          <w:szCs w:val="52"/>
        </w:rPr>
        <w:t>STAT-MD Training Workshop 2024 - CME APA</w:t>
      </w:r>
      <w:r w:rsidRPr="00A74FC1" w:rsidR="00FD3D76">
        <w:rPr>
          <w:b/>
          <w:sz w:val="40"/>
          <w:szCs w:val="40"/>
        </w:rPr>
        <w:fldChar w:fldCharType="end"/>
      </w:r>
    </w:p>
    <w:p w:rsidR="00A74FC1" w:rsidRPr="00A74FC1" w:rsidP="00481AB5">
      <w:pPr>
        <w:contextualSpacing/>
        <w:rPr>
          <w:bCs/>
          <w:sz w:val="10"/>
          <w:szCs w:val="10"/>
        </w:rPr>
      </w:pPr>
    </w:p>
    <w:p w:rsidR="00C24750" w:rsidP="00481AB5">
      <w:pPr>
        <w:contextualSpacing/>
      </w:pPr>
      <w:r w:rsidRPr="00145184">
        <w:t xml:space="preserve">Date: </w:t>
      </w:r>
      <w:r w:rsidR="00B70A06">
        <w:rPr>
          <w:noProof/>
        </w:rPr>
        <w:t>08:00</w:t>
      </w:r>
      <w:r w:rsidRPr="00145184" w:rsidR="00A17BBD">
        <w:t xml:space="preserve"> April 19, 2024</w:t>
      </w:r>
      <w:r w:rsidR="00BC157D">
        <w:t xml:space="preserve"> </w:t>
      </w:r>
      <w:r w:rsidR="00A41F81">
        <w:t xml:space="preserve"> - </w:t>
      </w:r>
      <w:r w:rsidR="00A41F81">
        <w:t>05:00 April, 19, 2024</w:t>
      </w:r>
      <w:r>
        <w:fldChar w:fldCharType="begin"/>
      </w:r>
      <w:r>
        <w:instrText xml:space="preserve"> IF </w:instrText>
      </w:r>
      <w:r>
        <w:instrText>"</w:instrText>
      </w:r>
      <w:r>
        <w:instrText>Live Stream</w:instrText>
      </w:r>
      <w:r>
        <w:instrText>"</w:instrText>
      </w:r>
      <w:r>
        <w:instrText xml:space="preserve"> &lt;&gt; "" "</w:instrText>
      </w:r>
    </w:p>
    <w:p w:rsidR="00B70A06" w:rsidP="00481AB5">
      <w:pPr>
        <w:contextualSpacing/>
        <w:rPr>
          <w:noProof/>
        </w:rPr>
      </w:pPr>
      <w:r>
        <w:instrText xml:space="preserve">Location: </w:instrText>
      </w:r>
      <w:r>
        <w:rPr>
          <w:noProof/>
        </w:rPr>
        <w:instrText>Live Stream</w:instrText>
      </w:r>
      <w:r>
        <w:instrText xml:space="preserve">" "" </w:instrText>
      </w:r>
      <w:r w:rsidR="00442B21">
        <w:fldChar w:fldCharType="separate"/>
      </w:r>
    </w:p>
    <w:p w:rsidR="00C24750" w:rsidP="00481AB5">
      <w:pPr>
        <w:contextualSpacing/>
      </w:pPr>
      <w:r>
        <w:t xml:space="preserve">Location: </w:t>
      </w:r>
      <w:r w:rsidR="00B70A06">
        <w:rPr>
          <w:noProof/>
        </w:rPr>
        <w:t>Live Stream</w:t>
      </w:r>
      <w:r>
        <w:fldChar w:fldCharType="end"/>
      </w:r>
    </w:p>
    <w:p w:rsidR="00A82C4C" w:rsidP="00481AB5">
      <w:pPr>
        <w:contextualSpacing/>
      </w:pPr>
    </w:p>
    <w:p w:rsidR="009E5431" w:rsidP="00481AB5">
      <w:pPr>
        <w:contextualSpacing/>
        <w:rPr>
          <w:b/>
        </w:rPr>
      </w:pPr>
      <w:r>
        <w:rPr>
          <w:b/>
        </w:rPr>
        <w:t>Accreditation</w:t>
      </w:r>
    </w:p>
    <w:p w:rsidR="00C24750" w:rsidRPr="00D004FB" w:rsidP="00481AB5">
      <w:pPr>
        <w:contextualSpacing/>
        <w:rPr>
          <w:bCs/>
          <w:sz w:val="10"/>
          <w:szCs w:val="10"/>
        </w:rPr>
      </w:pPr>
    </w:p>
    <w:p w:rsidR="00D004FB" w:rsidP="00481AB5">
      <w:pPr>
        <w:contextualSpacing/>
        <w:rPr>
          <w:rFonts w:cs="Calibri"/>
          <w:sz w:val="21"/>
          <w:szCs w:val="21"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9.00</w:instrText>
      </w:r>
      <w:r>
        <w:rPr>
          <w:bCs/>
        </w:rPr>
        <w:instrText xml:space="preserve"> &gt; 0 "</w:instrText>
      </w:r>
      <w:r w:rsidRPr="00D004FB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Vanderbilt University Medical Center is accredited by the Accreditation Council for</w:instrText>
      </w:r>
      <w:r w:rsidRPr="00C62DBF">
        <w:rPr>
          <w:rFonts w:cs="Calibri"/>
          <w:b/>
          <w:sz w:val="21"/>
          <w:szCs w:val="21"/>
        </w:rPr>
        <w:instrText xml:space="preserve"> </w:instrText>
      </w:r>
      <w:r w:rsidRPr="00C62DBF">
        <w:rPr>
          <w:rFonts w:cs="Calibri"/>
          <w:sz w:val="21"/>
          <w:szCs w:val="21"/>
        </w:rPr>
        <w:instrText>Continuing Medical Education to provide continuing medical education for physicians.</w:instrTex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R="00D004F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D004FB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Vanderbilt University Medical Center is accredited by the Accreditation Council for</w:t>
      </w:r>
      <w:r w:rsidRPr="00C62DBF">
        <w:rPr>
          <w:rFonts w:cs="Calibri"/>
          <w:b/>
          <w:sz w:val="21"/>
          <w:szCs w:val="21"/>
        </w:rPr>
        <w:t xml:space="preserve"> </w:t>
      </w:r>
      <w:r w:rsidRPr="00C62DBF">
        <w:rPr>
          <w:rFonts w:cs="Calibri"/>
          <w:sz w:val="21"/>
          <w:szCs w:val="21"/>
        </w:rPr>
        <w:t>Continuing Medical Education to provide continuing medical education for physicians.</w:t>
      </w:r>
    </w:p>
    <w:p w:rsidR="00D004FB" w:rsidP="00481AB5">
      <w:pPr>
        <w:contextualSpacing/>
        <w:rPr>
          <w:rFonts w:cs="Calibri"/>
          <w:sz w:val="21"/>
          <w:szCs w:val="21"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D004FB">
        <w:rPr>
          <w:bCs/>
        </w:rPr>
        <w:instrText>Vanderbilt University Medical Center, Nursing Education and Professional Development, is accredited as a provider of</w:instrText>
      </w:r>
      <w:r>
        <w:rPr>
          <w:bCs/>
        </w:rPr>
        <w:instrText xml:space="preserve"> </w:instrText>
      </w:r>
      <w:r w:rsidRPr="00D004FB">
        <w:rPr>
          <w:bCs/>
        </w:rPr>
        <w:instrText>nursing continuing professional development by the American Nurses Credentialing Center’s Commission on Accreditation.</w:instrText>
      </w:r>
    </w:p>
    <w:p w:rsidR="00D004FB" w:rsidP="00481AB5">
      <w:pPr>
        <w:contextualSpacing/>
        <w:rPr>
          <w:bCs/>
        </w:rPr>
      </w:pPr>
    </w:p>
    <w:p w:rsid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9.00</w:instrText>
      </w:r>
      <w:r>
        <w:rPr>
          <w:bCs/>
        </w:rPr>
        <w:instrText xml:space="preserve"> &gt; 0 "</w:instrText>
      </w:r>
      <w:r w:rsidRPr="00072CAB">
        <w:rPr>
          <w:bCs/>
        </w:rPr>
        <w:instrText>Vanderbilt University Medical Center is approved by the American Psychological Association to sponsor continuing education for psychologists. Vanderbilt University Medical Center maintains responsibility for this program and its content.</w:instrText>
      </w:r>
    </w:p>
    <w:p w:rsidR="00072CAB" w:rsidP="00481AB5">
      <w:pPr>
        <w:contextualSpacing/>
        <w:rPr>
          <w:bCs/>
        </w:rPr>
      </w:pPr>
    </w:p>
    <w:p w:rsidR="00072CAB" w:rsidRPr="00072CAB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072CAB">
        <w:rPr>
          <w:bCs/>
        </w:rPr>
        <w:t>Vanderbilt University Medical Center is approved by the American Psychological Association to sponsor continuing education for psychologists. Vanderbilt University Medical Center maintains responsibility for this program and its content.</w:t>
      </w:r>
    </w:p>
    <w:p w:rsidR="00072CAB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0.00</w:instrText>
      </w:r>
      <w:r>
        <w:rPr>
          <w:bCs/>
        </w:rPr>
        <w:instrText xml:space="preserve"> &gt; 0 "</w:instrText>
      </w:r>
      <w:r w:rsidRPr="00072CAB">
        <w:rPr>
          <w:bCs/>
        </w:rPr>
        <w:instrText xml:space="preserve">Continuing Education Credit: Vanderbilt University Medical Center is not an approved Dental Continuing Education provider and is not able to provide continuing education credit for participation. </w:instrText>
      </w:r>
    </w:p>
    <w:p w:rsidR="00072CAB" w:rsidRPr="00072CAB" w:rsidP="00481AB5">
      <w:pPr>
        <w:contextualSpacing/>
        <w:rPr>
          <w:bCs/>
        </w:rPr>
      </w:pPr>
    </w:p>
    <w:p w:rsidR="00072CAB" w:rsidP="00481AB5">
      <w:pPr>
        <w:contextualSpacing/>
        <w:rPr>
          <w:rStyle w:val="Hyperlink"/>
          <w:b/>
        </w:rPr>
      </w:pPr>
      <w:r w:rsidRPr="00072CAB">
        <w:rPr>
          <w:bCs/>
        </w:rPr>
        <w:instrText>The activity has received pre-approval for credit from the Tennessee Board of Dentistry, however participants seeking continuing education credit must apply to the Tennessee Board of Dentistry using the online form:</w:instrText>
      </w:r>
      <w:r>
        <w:rPr>
          <w:bCs/>
        </w:rPr>
        <w:instrText xml:space="preserve"> </w:instrText>
      </w:r>
      <w:r>
        <w:fldChar w:fldCharType="begin"/>
      </w:r>
      <w:r>
        <w:instrText xml:space="preserve"> HYPERLINK "https://vumc.cloud-cme.com/assets/vumc/pdf/PH-3867%20(COVID19%20Education%20Update%20for%20Dental%20Health%20Professionals).pdf" </w:instrText>
      </w:r>
      <w:r>
        <w:fldChar w:fldCharType="separate"/>
      </w:r>
      <w:r w:rsidRPr="00072CAB">
        <w:rPr>
          <w:rStyle w:val="Hyperlink"/>
          <w:b/>
        </w:rPr>
        <w:instrText>PH-3867 (COVID19 Ed</w:instrText>
      </w:r>
      <w:r w:rsidRPr="00072CAB">
        <w:rPr>
          <w:rStyle w:val="Hyperlink"/>
          <w:b/>
        </w:rPr>
        <w:instrText>u</w:instrText>
      </w:r>
      <w:r w:rsidRPr="00072CAB">
        <w:rPr>
          <w:rStyle w:val="Hyperlink"/>
          <w:b/>
        </w:rPr>
        <w:instrText>cation Update for Dental Health Professionals).pdf</w:instrText>
      </w:r>
      <w:r>
        <w:fldChar w:fldCharType="end"/>
      </w:r>
    </w:p>
    <w:p w:rsidR="00CC208F" w:rsidRPr="00072CAB" w:rsidP="00481AB5">
      <w:pPr>
        <w:contextualSpacing/>
        <w:rPr>
          <w:rStyle w:val="Hyperlink"/>
          <w:bCs/>
        </w:rPr>
      </w:pPr>
    </w:p>
    <w:p w:rsidR="00CC208F" w:rsidP="00481AB5">
      <w:pPr>
        <w:contextualSpacing/>
        <w:rPr>
          <w:b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/>
        </w:rPr>
        <w:t>Credit Designation</w:t>
      </w:r>
    </w:p>
    <w:p w:rsidR="00CC208F" w:rsidRPr="00CC208F" w:rsidP="00481AB5">
      <w:pPr>
        <w:contextualSpacing/>
        <w:rPr>
          <w:bCs/>
          <w:sz w:val="10"/>
          <w:szCs w:val="10"/>
        </w:rPr>
      </w:pPr>
    </w:p>
    <w:p w:rsidR="00CC208F" w:rsidRPr="00CC208F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9.00</w:instrText>
      </w:r>
      <w:r>
        <w:rPr>
          <w:bCs/>
        </w:rPr>
        <w:instrText xml:space="preserve"> &gt; 0 "</w:instrText>
      </w:r>
      <w:r w:rsidRPr="00C62DBF">
        <w:rPr>
          <w:rFonts w:cs="Calibri"/>
          <w:sz w:val="21"/>
          <w:szCs w:val="21"/>
        </w:rPr>
        <w:instrText xml:space="preserve">Vanderbilt University Medical Center designates this </w:instrText>
      </w:r>
      <w:r>
        <w:fldChar w:fldCharType="begin"/>
      </w:r>
      <w:r>
        <w:instrText xml:space="preserve"> IF </w:instrText>
      </w:r>
      <w:r>
        <w:instrText>"</w:instrText>
      </w:r>
      <w:r>
        <w:instrText>Live Activity</w:instrText>
      </w:r>
      <w:r>
        <w:instrText>"</w:instrText>
      </w:r>
      <w:r>
        <w:instrText xml:space="preserve"> &lt;&gt; "" "</w:instrText>
      </w:r>
      <w:r>
        <w:instrText>live activity</w:instrText>
      </w:r>
      <w:r>
        <w:instrText xml:space="preserve">" "activity" </w:instrText>
      </w:r>
      <w:r>
        <w:fldChar w:fldCharType="separate"/>
      </w:r>
      <w:r>
        <w:instrText>live activity</w:instrText>
      </w:r>
      <w:r>
        <w:fldChar w:fldCharType="end"/>
      </w:r>
      <w:r w:rsidRPr="00C62DBF">
        <w:instrText xml:space="preserve"> </w:instrText>
      </w:r>
      <w:r w:rsidRPr="00C62DBF">
        <w:rPr>
          <w:rFonts w:cs="Calibri"/>
          <w:sz w:val="21"/>
          <w:szCs w:val="21"/>
        </w:rPr>
        <w:instrText xml:space="preserve">for a maximum of </w:instrText>
      </w:r>
      <w:r>
        <w:rPr>
          <w:rFonts w:cs="Calibri"/>
          <w:sz w:val="21"/>
          <w:szCs w:val="21"/>
        </w:rPr>
        <w:instrText>9.00</w:instrText>
      </w:r>
      <w:r w:rsidRPr="00C62DBF">
        <w:rPr>
          <w:rFonts w:cs="Calibri"/>
          <w:sz w:val="21"/>
          <w:szCs w:val="21"/>
        </w:rPr>
        <w:instrText xml:space="preserve"> </w:instrText>
      </w:r>
      <w:r w:rsidRPr="00C62DBF">
        <w:rPr>
          <w:rFonts w:cs="Calibri"/>
          <w:i/>
          <w:sz w:val="21"/>
          <w:szCs w:val="21"/>
        </w:rPr>
        <w:instrText>AMA PRA Category 1 Credit(s)</w:instrText>
      </w:r>
      <w:r w:rsidRPr="00C62DBF">
        <w:rPr>
          <w:rFonts w:cs="Calibri"/>
          <w:sz w:val="21"/>
          <w:szCs w:val="21"/>
          <w:vertAlign w:val="superscript"/>
        </w:rPr>
        <w:instrText>TM</w:instrText>
      </w:r>
      <w:r w:rsidRPr="00C62DBF">
        <w:rPr>
          <w:rFonts w:cs="Calibri"/>
          <w:sz w:val="21"/>
          <w:szCs w:val="21"/>
        </w:rPr>
        <w:instrText>. Physicians should claim only the credit commensurate with the extent of their participation in the activity</w:instrText>
      </w:r>
    </w:p>
    <w:p w:rsidR="00CC208F" w:rsidRPr="00CC208F" w:rsidP="00481AB5">
      <w:pPr>
        <w:contextualSpacing/>
        <w:rPr>
          <w:bCs/>
        </w:rPr>
      </w:pPr>
    </w:p>
    <w:p w:rsidR="00481AB5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Pr="00C62DBF">
        <w:rPr>
          <w:rFonts w:cs="Calibri"/>
          <w:sz w:val="21"/>
          <w:szCs w:val="21"/>
        </w:rPr>
        <w:t xml:space="preserve">Vanderbilt University Medical Center designates this </w:t>
      </w:r>
      <w:r>
        <w:t>live activity</w:t>
      </w:r>
      <w:r w:rsidRPr="00C62DBF">
        <w:t xml:space="preserve"> </w:t>
      </w:r>
      <w:r w:rsidRPr="00C62DBF">
        <w:rPr>
          <w:rFonts w:cs="Calibri"/>
          <w:sz w:val="21"/>
          <w:szCs w:val="21"/>
        </w:rPr>
        <w:t xml:space="preserve">for a maximum of </w:t>
      </w:r>
      <w:r>
        <w:rPr>
          <w:rFonts w:cs="Calibri"/>
          <w:sz w:val="21"/>
          <w:szCs w:val="21"/>
        </w:rPr>
        <w:t>9.00</w:t>
      </w:r>
      <w:r w:rsidRPr="00C62DBF">
        <w:rPr>
          <w:rFonts w:cs="Calibri"/>
          <w:sz w:val="21"/>
          <w:szCs w:val="21"/>
        </w:rPr>
        <w:t xml:space="preserve"> </w:t>
      </w:r>
      <w:r w:rsidRPr="00C62DBF">
        <w:rPr>
          <w:rFonts w:cs="Calibri"/>
          <w:i/>
          <w:sz w:val="21"/>
          <w:szCs w:val="21"/>
        </w:rPr>
        <w:t>AMA PRA Category 1 Credit(s)</w:t>
      </w:r>
      <w:r w:rsidRPr="00C62DBF">
        <w:rPr>
          <w:rFonts w:cs="Calibri"/>
          <w:sz w:val="21"/>
          <w:szCs w:val="21"/>
          <w:vertAlign w:val="superscript"/>
        </w:rPr>
        <w:t>TM</w:t>
      </w:r>
      <w:r w:rsidRPr="00C62DBF">
        <w:rPr>
          <w:rFonts w:cs="Calibri"/>
          <w:sz w:val="21"/>
          <w:szCs w:val="21"/>
        </w:rPr>
        <w:t>. Physicians should claim only the credit commensurate with the extent of their participation in the activity</w:t>
      </w:r>
    </w:p>
    <w:p w:rsidR="00CC208F" w:rsidRPr="00CC208F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IF </w:instrText>
      </w:r>
      <w:r w:rsidR="00481AB5">
        <w:rPr>
          <w:bCs/>
        </w:rPr>
        <w:instrText>0.00</w:instrText>
      </w:r>
      <w:r w:rsidR="00481AB5">
        <w:rPr>
          <w:bCs/>
        </w:rPr>
        <w:instrText xml:space="preserve"> &gt; 0 "This activity is designated to award a maximum of </w:instrText>
      </w:r>
      <w:r w:rsidR="00481AB5">
        <w:rPr>
          <w:bCs/>
        </w:rPr>
        <w:fldChar w:fldCharType="begin"/>
      </w:r>
      <w:r w:rsidR="00481AB5">
        <w:rPr>
          <w:bCs/>
        </w:rPr>
        <w:instrText xml:space="preserve"> MERGEFIELD ANCCHoursMax \# 0.00# </w:instrText>
      </w:r>
      <w:r w:rsidR="00481AB5">
        <w:rPr>
          <w:bCs/>
        </w:rPr>
        <w:fldChar w:fldCharType="separate"/>
      </w:r>
      <w:r w:rsidR="00481AB5">
        <w:rPr>
          <w:bCs/>
        </w:rPr>
        <w:fldChar w:fldCharType="end"/>
      </w:r>
      <w:r w:rsidR="00481AB5">
        <w:rPr>
          <w:bCs/>
        </w:rPr>
        <w:instrText xml:space="preserve"> ANCC contact hour(s)."</w:instrText>
      </w:r>
    </w:p>
    <w:p w:rsidR="00481AB5" w:rsidP="00481AB5">
      <w:pPr>
        <w:contextualSpacing/>
        <w:rPr>
          <w:bCs/>
        </w:rPr>
      </w:pPr>
    </w:p>
    <w:p w:rsidR="006959B0" w:rsidP="00481AB5">
      <w:pPr>
        <w:contextualSpacing/>
        <w:rPr>
          <w:bCs/>
        </w:rPr>
      </w:pPr>
      <w:r>
        <w:rPr>
          <w:bCs/>
        </w:rPr>
        <w:instrText xml:space="preserve"> "" </w:instrText>
      </w:r>
      <w:r>
        <w:rPr>
          <w:bCs/>
        </w:rPr>
        <w:fldChar w:fldCharType="separate"/>
      </w: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9.00</w:instrText>
      </w:r>
      <w:r>
        <w:rPr>
          <w:bCs/>
        </w:rPr>
        <w:instrText xml:space="preserve"> &gt; 0 "This activity is designated to award a maximum of </w:instrText>
      </w:r>
      <w:r>
        <w:rPr>
          <w:bCs/>
        </w:rPr>
        <w:instrText>9.00</w:instrText>
      </w:r>
      <w:r>
        <w:rPr>
          <w:bCs/>
        </w:rPr>
        <w:instrText xml:space="preserve"> APA CE credit(s).</w:instrText>
      </w:r>
    </w:p>
    <w:p w:rsidR="006959B0" w:rsidP="00481AB5">
      <w:pPr>
        <w:contextualSpacing/>
        <w:rPr>
          <w:bCs/>
        </w:rPr>
      </w:pPr>
    </w:p>
    <w:p w:rsidR="00CE38A1" w:rsidRPr="006959B0" w:rsidP="00481AB5">
      <w:pPr>
        <w:contextualSpacing/>
        <w:rPr>
          <w:bCs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>
        <w:rPr>
          <w:bCs/>
        </w:rPr>
        <w:t xml:space="preserve">This activity is designated to award a maximum of </w:t>
      </w:r>
      <w:r>
        <w:rPr>
          <w:bCs/>
        </w:rPr>
        <w:t>9.00</w:t>
      </w:r>
      <w:r w:rsidR="006959B0">
        <w:rPr>
          <w:bCs/>
        </w:rPr>
        <w:t xml:space="preserve"> APA CE credit(s).</w:t>
      </w:r>
    </w:p>
    <w:p w:rsidR="006959B0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 w:rsidR="00CE38A1">
        <w:rPr>
          <w:bCs/>
        </w:rPr>
        <w:fldChar w:fldCharType="begin"/>
      </w:r>
      <w:r w:rsidR="00CE38A1">
        <w:rPr>
          <w:bCs/>
        </w:rPr>
        <w:instrText xml:space="preserve"> IF </w:instrText>
      </w:r>
      <w:r w:rsidR="00CE38A1">
        <w:rPr>
          <w:bCs/>
        </w:rPr>
        <w:instrText>"</w:instrText>
      </w:r>
      <w:r w:rsidR="00CE38A1">
        <w:rPr>
          <w:bCs/>
        </w:rPr>
        <w:instrText>1 Identify the core features of ASD in young children.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 Examine the core features of ASD in young children.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 xml:space="preserve">2 Recognize developmental risk markers for ASD in young children. 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2 List developmental risk markers for ASD in young children.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Score elements of the STAT that can be used as part of an overall office-based assessment for ASD.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3 Learn and score elements of the STAT that can be used as part of an overall office-based assessment for ASD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Demonstrate ways to synthesize information from a variety of sources to assist differential diagnosis of ASD in young children.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4 Synthesize information from a variety of sources to assist differential diagnosis of ASD in young children.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Identify a framework for initiating community-based services for families of young children with ASD.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5 Identify and utilize a framework for initiating community based services for families of young children with ASD.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Know how to code for the above services.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Explain how to code for the above services.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6 Explain how to code for the above services.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8 Conduct a developmentally sensitive caregiver interview.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9 Determine likelihood for autism based on case examples of STAT assessment, parent interview, and medical record review.</w:instrText>
      </w:r>
    </w:p>
    <w:p w:rsidR="00F46F37" w:rsidP="00481AB5">
      <w:pPr>
        <w:contextualSpacing/>
        <w:rPr>
          <w:bCs/>
        </w:rPr>
      </w:pPr>
      <w:r w:rsidR="00CE38A1">
        <w:rPr>
          <w:bCs/>
        </w:rPr>
        <w:instrText>10  Communicate diagnostic impressions and STAT results to parent(s).</w:instrText>
      </w:r>
      <w:r w:rsidR="00CE38A1">
        <w:rPr>
          <w:bCs/>
        </w:rPr>
        <w:instrText>"</w:instrText>
      </w:r>
      <w:r w:rsidR="00CE38A1">
        <w:rPr>
          <w:bCs/>
        </w:rPr>
        <w:instrText xml:space="preserve"> &lt;&gt; "" "</w:instrText>
      </w:r>
      <w:r w:rsidR="00CE38A1">
        <w:rPr>
          <w:b/>
        </w:rPr>
        <w:instrText>Objectives</w:instrTex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instrText>After participating in this educational activity, you should be able to:</w:instrText>
      </w:r>
    </w:p>
    <w:p w:rsidR="00CE38A1" w:rsidP="00481AB5">
      <w:pPr>
        <w:contextualSpacing/>
        <w:rPr>
          <w:bCs/>
        </w:rPr>
      </w:pPr>
      <w:r>
        <w:rPr>
          <w:bCs/>
        </w:rPr>
        <w:instrText>1 Identify the core features of ASD in young children.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 Examine the core features of ASD in young children.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 xml:space="preserve">2 Recognize developmental risk markers for ASD in young children. 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2 List developmental risk markers for ASD in young children.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Score elements of the STAT that can be used as part of an overall office-based assessment for ASD.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3 Learn and score elements of the STAT that can be used as part of an overall office-based assessment for ASD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Demonstrate ways to synthesize information from a variety of sources to assist differential diagnosis of ASD in young children.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4 Synthesize information from a variety of sources to assist differential diagnosis of ASD in young children.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Identify a framework for initiating community-based services for families of young children with ASD.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5 Identify and utilize a framework for initiating community based services for families of young children with ASD.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Know how to code for the above services.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Explain how to code for the above services.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6 Explain how to code for the above services.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8 Conduct a developmentally sensitive caregiver interview.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9 Determine likelihood for autism based on case examples of STAT assessment, parent interview, and medical record review.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10  Communicate diagnostic impressions and STAT results to parent(s).</w:instrText>
      </w:r>
    </w:p>
    <w:p w:rsidR="00B70A06" w:rsidRPr="006959B0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 w:rsidR="00CE38A1">
        <w:rPr>
          <w:b/>
        </w:rPr>
        <w:t>Objectives</w:t>
      </w:r>
    </w:p>
    <w:p w:rsidR="00CE38A1" w:rsidP="00481AB5">
      <w:pPr>
        <w:contextualSpacing/>
        <w:rPr>
          <w:bCs/>
        </w:rPr>
      </w:pPr>
      <w:r w:rsidRPr="00CE38A1">
        <w:rPr>
          <w:bCs/>
        </w:rPr>
        <w:t>After participating in this educational activity, you should be able to:</w:t>
      </w:r>
    </w:p>
    <w:p w:rsidR="00CE38A1" w:rsidP="00481AB5">
      <w:pPr>
        <w:contextualSpacing/>
        <w:rPr>
          <w:bCs/>
        </w:rPr>
      </w:pPr>
      <w:r>
        <w:rPr>
          <w:bCs/>
        </w:rPr>
        <w:t>1 Identify the core features of ASD in young children.</w:t>
      </w:r>
    </w:p>
    <w:p w:rsidR="00F46F37" w:rsidP="00481AB5">
      <w:pPr>
        <w:contextualSpacing/>
        <w:rPr>
          <w:bCs/>
        </w:rPr>
      </w:pPr>
      <w:r>
        <w:rPr>
          <w:bCs/>
        </w:rPr>
        <w:t>1 Examine the core features of ASD in young children.</w:t>
      </w:r>
    </w:p>
    <w:p w:rsidR="00F46F37" w:rsidP="00481AB5">
      <w:pPr>
        <w:contextualSpacing/>
        <w:rPr>
          <w:bCs/>
        </w:rPr>
      </w:pPr>
      <w:r>
        <w:rPr>
          <w:bCs/>
        </w:rPr>
        <w:t xml:space="preserve">2 Recognize developmental risk markers for ASD in young children. </w:t>
      </w:r>
    </w:p>
    <w:p w:rsidR="00F46F37" w:rsidP="00481AB5">
      <w:pPr>
        <w:contextualSpacing/>
        <w:rPr>
          <w:bCs/>
        </w:rPr>
      </w:pPr>
      <w:r>
        <w:rPr>
          <w:bCs/>
        </w:rPr>
        <w:t>2 List developmental risk markers for ASD in young children.</w:t>
      </w:r>
    </w:p>
    <w:p w:rsidR="00F46F37" w:rsidP="00481AB5">
      <w:pPr>
        <w:contextualSpacing/>
        <w:rPr>
          <w:bCs/>
        </w:rPr>
      </w:pPr>
      <w:r>
        <w:rPr>
          <w:bCs/>
        </w:rPr>
        <w:t>3 Score elements of the STAT that can be used as part of an overall office-based assessment for ASD.</w:t>
      </w:r>
    </w:p>
    <w:p w:rsidR="00F46F37" w:rsidP="00481AB5">
      <w:pPr>
        <w:contextualSpacing/>
        <w:rPr>
          <w:bCs/>
        </w:rPr>
      </w:pPr>
      <w:r>
        <w:rPr>
          <w:bCs/>
        </w:rPr>
        <w:t>3 Learn and score elements of the STAT that can be used as part of an overall office-based assessment for ASD</w:t>
      </w:r>
    </w:p>
    <w:p w:rsidR="00F46F37" w:rsidP="00481AB5">
      <w:pPr>
        <w:contextualSpacing/>
        <w:rPr>
          <w:bCs/>
        </w:rPr>
      </w:pPr>
      <w:r>
        <w:rPr>
          <w:bCs/>
        </w:rPr>
        <w:t>4 Demonstrate ways to synthesize information from a variety of sources to assist differential diagnosis of ASD in young children.</w:t>
      </w:r>
    </w:p>
    <w:p w:rsidR="00F46F37" w:rsidP="00481AB5">
      <w:pPr>
        <w:contextualSpacing/>
        <w:rPr>
          <w:bCs/>
        </w:rPr>
      </w:pPr>
      <w:r>
        <w:rPr>
          <w:bCs/>
        </w:rPr>
        <w:t>4 Synthesize information from a variety of sources to assist differential diagnosis of ASD in young children.</w:t>
      </w:r>
    </w:p>
    <w:p w:rsidR="00F46F37" w:rsidP="00481AB5">
      <w:pPr>
        <w:contextualSpacing/>
        <w:rPr>
          <w:bCs/>
        </w:rPr>
      </w:pPr>
      <w:r>
        <w:rPr>
          <w:bCs/>
        </w:rPr>
        <w:t>5 Identify a framework for initiating community-based services for families of young children with ASD.</w:t>
      </w:r>
    </w:p>
    <w:p w:rsidR="00F46F37" w:rsidP="00481AB5">
      <w:pPr>
        <w:contextualSpacing/>
        <w:rPr>
          <w:bCs/>
        </w:rPr>
      </w:pPr>
      <w:r>
        <w:rPr>
          <w:bCs/>
        </w:rPr>
        <w:t>5 Identify and utilize a framework for initiating community based services for families of young children with ASD.</w:t>
      </w:r>
    </w:p>
    <w:p w:rsidR="00F46F37" w:rsidP="00481AB5">
      <w:pPr>
        <w:contextualSpacing/>
        <w:rPr>
          <w:bCs/>
        </w:rPr>
      </w:pPr>
      <w:r>
        <w:rPr>
          <w:bCs/>
        </w:rPr>
        <w:t>6 Know how to code for the above services.</w:t>
      </w:r>
    </w:p>
    <w:p w:rsidR="00F46F37" w:rsidP="00481AB5">
      <w:pPr>
        <w:contextualSpacing/>
        <w:rPr>
          <w:bCs/>
        </w:rPr>
      </w:pPr>
      <w:r>
        <w:rPr>
          <w:bCs/>
        </w:rPr>
        <w:t>6 Explain how to code for the above services.</w:t>
      </w:r>
    </w:p>
    <w:p w:rsidR="00F46F37" w:rsidP="00481AB5">
      <w:pPr>
        <w:contextualSpacing/>
        <w:rPr>
          <w:bCs/>
        </w:rPr>
      </w:pPr>
      <w:r>
        <w:rPr>
          <w:bCs/>
        </w:rPr>
        <w:t>6 Explain how to code for the above services.</w:t>
      </w:r>
    </w:p>
    <w:p w:rsidR="00F46F37" w:rsidP="00481AB5">
      <w:pPr>
        <w:contextualSpacing/>
        <w:rPr>
          <w:bCs/>
        </w:rPr>
      </w:pPr>
      <w:r>
        <w:rPr>
          <w:bCs/>
        </w:rPr>
        <w:t>8 Conduct a developmentally sensitive caregiver interview.</w:t>
      </w:r>
    </w:p>
    <w:p w:rsidR="00F46F37" w:rsidP="00481AB5">
      <w:pPr>
        <w:contextualSpacing/>
        <w:rPr>
          <w:bCs/>
        </w:rPr>
      </w:pPr>
      <w:r>
        <w:rPr>
          <w:bCs/>
        </w:rPr>
        <w:t>9 Determine likelihood for autism based on case examples of STAT assessment, parent interview, and medical record review.</w:t>
      </w:r>
    </w:p>
    <w:p w:rsidR="00F46F37" w:rsidP="00481AB5">
      <w:pPr>
        <w:contextualSpacing/>
        <w:rPr>
          <w:bCs/>
        </w:rPr>
      </w:pPr>
      <w:r>
        <w:rPr>
          <w:bCs/>
        </w:rPr>
        <w:t>10  Communicate diagnostic impressions and STAT results to parent(s).</w:t>
      </w: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bCs/>
        </w:rPr>
        <w:fldChar w:fldCharType="begin"/>
      </w:r>
      <w:r>
        <w:rPr>
          <w:bCs/>
        </w:rPr>
        <w:instrText xml:space="preserve"> IF </w:instrText>
      </w:r>
      <w:r>
        <w:rPr>
          <w:bCs/>
        </w:rPr>
        <w:instrText>"</w:instrText>
      </w:r>
      <w:r>
        <w:rPr>
          <w:bCs/>
        </w:rPr>
        <w:instrText>"</w:instrText>
      </w:r>
      <w:r>
        <w:rPr>
          <w:bCs/>
        </w:rPr>
        <w:instrText xml:space="preserve"> &lt;&gt; "" "</w:instrText>
      </w:r>
      <w:r>
        <w:rPr>
          <w:b/>
        </w:rPr>
        <w:instrText>Learning Outcomes</w:instrText>
      </w:r>
    </w:p>
    <w:p w:rsidR="00CE38A1" w:rsidP="00481AB5">
      <w:pPr>
        <w:contextualSpacing/>
        <w:rPr>
          <w:bCs/>
        </w:rPr>
      </w:pPr>
      <w:r>
        <w:rPr>
          <w:bCs/>
        </w:rPr>
        <w:fldChar w:fldCharType="begin"/>
      </w:r>
      <w:r>
        <w:rPr>
          <w:bCs/>
        </w:rPr>
        <w:instrText xml:space="preserve"> MERGEFIELD ANCCObjectives </w:instrText>
      </w:r>
      <w:r w:rsidR="00F46F37">
        <w:rPr>
          <w:bCs/>
        </w:rPr>
        <w:fldChar w:fldCharType="separate"/>
      </w:r>
      <w:r w:rsidR="00B70A06">
        <w:rPr>
          <w:bCs/>
          <w:noProof/>
        </w:rPr>
        <w:instrText>«ANCCObjectives»</w:instrText>
      </w:r>
      <w:r>
        <w:rPr>
          <w:bCs/>
        </w:rPr>
        <w:fldChar w:fldCharType="end"/>
      </w: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 w:rsidR="00F46F37">
        <w:rPr>
          <w:bCs/>
        </w:rPr>
        <w:fldChar w:fldCharType="separate"/>
      </w:r>
      <w:r>
        <w:rPr>
          <w:bCs/>
        </w:rPr>
        <w:fldChar w:fldCharType="end"/>
      </w:r>
      <w:r w:rsidR="00F46F37">
        <w:rPr>
          <w:bCs/>
        </w:rPr>
        <w:fldChar w:fldCharType="begin"/>
      </w:r>
      <w:r w:rsidR="00F46F37">
        <w:rPr>
          <w:bCs/>
        </w:rPr>
        <w:instrText xml:space="preserve"> IF </w:instrText>
      </w:r>
      <w:r w:rsidR="00F46F37">
        <w:rPr>
          <w:bCs/>
        </w:rPr>
        <w:instrText>"</w:instrText>
      </w:r>
      <w:r w:rsidR="00F46F37">
        <w:rPr>
          <w:bCs/>
        </w:rPr>
        <w:instrText>Pediatrics, Hearing And Speech Sciences, Psychiatry And Behavioral Sciences, Nursing</w:instrText>
      </w:r>
      <w:r w:rsidR="00F46F37">
        <w:rPr>
          <w:bCs/>
        </w:rPr>
        <w:instrText>"</w:instrText>
      </w:r>
      <w:r w:rsidR="00F46F37">
        <w:rPr>
          <w:bCs/>
        </w:rPr>
        <w:instrText xml:space="preserve"> &lt;&gt; "" "</w:instrText>
      </w:r>
      <w:r w:rsidR="00F46F37">
        <w:rPr>
          <w:b/>
        </w:rPr>
        <w:instrText>Target Audience</w:instrText>
      </w:r>
    </w:p>
    <w:p w:rsidR="00F46F37" w:rsidP="00481AB5">
      <w:pPr>
        <w:contextualSpacing/>
        <w:rPr>
          <w:bCs/>
        </w:rPr>
      </w:pPr>
      <w:r>
        <w:rPr>
          <w:bCs/>
        </w:rPr>
        <w:instrText>Pediatrics, Hearing And Speech Sciences, Psychiatry And Behavioral Sciences, Nursing</w:instrText>
      </w:r>
    </w:p>
    <w:p w:rsidR="00F46F37" w:rsidP="00481AB5">
      <w:pPr>
        <w:contextualSpacing/>
        <w:rPr>
          <w:bCs/>
        </w:rPr>
      </w:pPr>
    </w:p>
    <w:p w:rsidR="00B70A06" w:rsidP="00481AB5">
      <w:pPr>
        <w:contextualSpacing/>
        <w:rPr>
          <w:bCs/>
          <w:noProof/>
        </w:rPr>
      </w:pPr>
      <w:r>
        <w:rPr>
          <w:bCs/>
        </w:rPr>
        <w:instrText xml:space="preserve">" "" </w:instrText>
      </w:r>
      <w:r>
        <w:rPr>
          <w:bCs/>
        </w:rPr>
        <w:fldChar w:fldCharType="separate"/>
      </w:r>
      <w:r w:rsidR="00F46F37">
        <w:rPr>
          <w:b/>
        </w:rPr>
        <w:t>Target Audience</w:t>
      </w:r>
    </w:p>
    <w:p w:rsidR="00F46F37" w:rsidP="00481AB5">
      <w:pPr>
        <w:contextualSpacing/>
        <w:rPr>
          <w:bCs/>
        </w:rPr>
      </w:pPr>
      <w:r>
        <w:rPr>
          <w:bCs/>
        </w:rPr>
        <w:t>Pediatrics, Hearing And Speech Sciences, Psychiatry And Behavioral Sciences, Nursing</w:t>
      </w:r>
    </w:p>
    <w:p w:rsidR="00F46F37" w:rsidP="00481AB5">
      <w:pPr>
        <w:contextualSpacing/>
        <w:rPr>
          <w:bCs/>
        </w:rPr>
      </w:pPr>
    </w:p>
    <w:p w:rsidP="00481AB5">
      <w:pPr>
        <w:contextualSpacing/>
        <w:rPr>
          <w:bCs/>
        </w:rPr>
      </w:pPr>
      <w:r>
        <w:rPr>
          <w:bCs/>
        </w:rPr>
        <w:fldChar w:fldCharType="end"/>
      </w:r>
      <w:r>
        <w:rPr>
          <w:rFonts w:asciiTheme="minorHAnsi" w:hAnsiTheme="minorHAnsi" w:cstheme="minorHAnsi"/>
          <w:b/>
        </w:rPr>
        <w:t>Americans with Disabilities Act</w:t>
      </w:r>
    </w:p>
    <w:p w:rsidR="00C24750" w:rsidRPr="00F46F37" w:rsidP="00481AB5">
      <w:pPr>
        <w:contextualSpacing/>
        <w:rPr>
          <w:b/>
        </w:rPr>
      </w:pPr>
      <w:r>
        <w:rPr>
          <w:rFonts w:asciiTheme="minorHAnsi" w:hAnsiTheme="minorHAnsi" w:cstheme="minorHAnsi"/>
        </w:rPr>
        <w:t xml:space="preserve">It is the policy of Vanderbilt University Medical Center not to discriminate against any person </w:t>
      </w:r>
      <w:r>
        <w:rPr>
          <w:rFonts w:asciiTheme="minorHAnsi" w:hAnsiTheme="minorHAnsi" w:cstheme="minorHAnsi"/>
        </w:rPr>
        <w:t>on the basis of</w:t>
      </w:r>
      <w:r>
        <w:rPr>
          <w:rFonts w:asciiTheme="minorHAnsi" w:hAnsiTheme="minorHAnsi" w:cstheme="minorHAnsi"/>
        </w:rPr>
        <w:t xml:space="preserve"> disabilities.  If you feel you need services or auxiliary aids mentioned in the Americans with Disabilities Act </w:t>
      </w:r>
      <w:r>
        <w:rPr>
          <w:rFonts w:asciiTheme="minorHAnsi" w:hAnsiTheme="minorHAnsi" w:cstheme="minorHAnsi"/>
        </w:rPr>
        <w:t>in order to</w:t>
      </w:r>
      <w:r>
        <w:rPr>
          <w:rFonts w:asciiTheme="minorHAnsi" w:hAnsiTheme="minorHAnsi" w:cstheme="minorHAnsi"/>
        </w:rPr>
        <w:t xml:space="preserve"> fully participate in this continuing education activity, please contact the Office for Continuous Professional Development (OCPD) to request assistance.</w:t>
      </w:r>
    </w:p>
    <w:p w:rsidR="00C24750" w:rsidRPr="00D004FB" w:rsidP="00481AB5">
      <w:pPr>
        <w:contextualSpacing/>
        <w:rPr>
          <w:bCs/>
        </w:rPr>
      </w:pPr>
    </w:p>
    <w:p w:rsidR="00F46F37" w:rsidRPr="001E6029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Commercial Support</w:t>
      </w:r>
    </w:p>
    <w:p w:rsid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IF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= "" "This activity received no commercial support." </w:instrText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MERGEFIELD CommercialSupport \* MERGEFORMAT </w:instrText>
      </w:r>
      <w:r>
        <w:rPr>
          <w:rFonts w:asciiTheme="minorHAnsi" w:hAnsiTheme="minorHAnsi" w:cstheme="minorHAnsi"/>
        </w:rPr>
        <w:fldChar w:fldCharType="separate"/>
      </w:r>
      <w:r w:rsidR="00B70A06">
        <w:rPr>
          <w:rFonts w:asciiTheme="minorHAnsi" w:hAnsiTheme="minorHAnsi" w:cstheme="minorHAnsi"/>
          <w:noProof/>
        </w:rPr>
        <w:instrText>«CommercialSupport»</w:instrTex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instrText>"</w:instrText>
      </w:r>
      <w:r>
        <w:rPr>
          <w:rFonts w:asciiTheme="minorHAnsi" w:hAnsiTheme="minorHAnsi" w:cstheme="minorHAnsi"/>
        </w:rPr>
        <w:instrText xml:space="preserve"> </w:instrText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This activity received no commercial support.</w:t>
      </w:r>
      <w:r>
        <w:rPr>
          <w:rFonts w:asciiTheme="minorHAnsi" w:hAnsiTheme="minorHAnsi" w:cstheme="minorHAnsi"/>
        </w:rPr>
        <w:fldChar w:fldCharType="end"/>
      </w:r>
    </w:p>
    <w:p w:rsidR="00F46F37" w:rsidP="00481AB5">
      <w:pPr>
        <w:contextualSpacing/>
        <w:rPr>
          <w:rFonts w:asciiTheme="minorHAnsi" w:hAnsiTheme="minorHAnsi" w:cstheme="minorHAnsi"/>
        </w:rPr>
      </w:pPr>
    </w:p>
    <w:p w:rsidR="00F46F37" w:rsidP="00481AB5">
      <w:pPr>
        <w:contextualSpacing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Financial Disclosures</w:t>
      </w:r>
    </w:p>
    <w:p w:rsidR="00F46F37" w:rsidRPr="00F46F37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VUMC CE activities are compliant with the Standards for Integrity and Independence in accredited continuing education. Any individual in a position to control the content of a CE activity, including but not limited to planners and faculty, are required to disclose all relevant financial relationships with ineligible organizations.</w:t>
      </w:r>
    </w:p>
    <w:p w:rsidR="006959B0" w:rsidP="00481AB5">
      <w:pPr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relevant conflicts of interest have been mitigated before this activity started.</w:t>
      </w:r>
    </w:p>
    <w:tbl>
      <w:tblPr>
        <w:tblW w:w="5000" w:type="pct"/>
        <w:jc w:val="left"/>
        <w:tblCellSpacing w:w="15" w:type="dxa"/>
        <w:tblInd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81"/>
        <w:gridCol w:w="2781"/>
        <w:gridCol w:w="3708"/>
      </w:tblGrid>
      <w:tr>
        <w:tblPrEx>
          <w:tblW w:w="5000" w:type="pct"/>
          <w:jc w:val="left"/>
          <w:tblCellSpacing w:w="15" w:type="dxa"/>
          <w:tblInd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Name of individual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Individual's role in activity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>
            <w:pPr>
              <w:bidi w:val="0"/>
              <w:spacing w:after="0" w:afterAutospacing="0"/>
              <w:jc w:val="center"/>
              <w:rPr>
                <w:rtl w:val="0"/>
              </w:rPr>
            </w:pPr>
            <w:r>
              <w:rPr>
                <w:b/>
                <w:rtl w:val="0"/>
              </w:rPr>
              <w:t>Nature of Relationship(s) / Name of Ineligible Company(s)</w:t>
            </w:r>
          </w:p>
        </w:tc>
      </w:tr>
      <w:tr>
        <w:tblPrEx>
          <w:tblW w:w="5000" w:type="pct"/>
          <w:jc w:val="left"/>
          <w:tblCellSpacing w:w="15" w:type="dxa"/>
          <w:tblInd w:w="0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left"/>
        </w:trPr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Elizabeth Coan, PsyD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Faculty</w:t>
            </w:r>
          </w:p>
        </w:tc>
        <w:tc>
          <w:tcPr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>
            <w:pPr>
              <w:bidi w:val="0"/>
              <w:spacing w:after="0" w:afterAutospacing="0"/>
              <w:jc w:val="left"/>
              <w:rPr>
                <w:rtl w:val="0"/>
              </w:rPr>
            </w:pPr>
            <w:r>
              <w:rPr>
                <w:rtl w:val="0"/>
              </w:rPr>
              <w:t>Nothing to disclose - 04/12/2024</w:t>
            </w:r>
          </w:p>
        </w:tc>
      </w:tr>
    </w:tbl>
    <w:p w:rsidR="00C24750" w:rsidRPr="00D004FB">
      <w:pPr>
        <w:bidi w:val="0"/>
        <w:spacing w:after="280" w:afterAutospacing="1"/>
        <w:rPr>
          <w:bCs/>
        </w:rPr>
      </w:pPr>
    </w:p>
    <w:p w:rsidR="0064092A" w:rsidP="00481AB5">
      <w:pPr>
        <w:contextualSpacing/>
        <w:rPr>
          <w:rFonts w:asciiTheme="minorHAnsi" w:hAnsiTheme="minorHAnsi" w:cstheme="minorHAnsi"/>
        </w:rPr>
      </w:pPr>
    </w:p>
    <w:p w:rsidR="006959B0" w:rsidRPr="006959B0" w:rsidP="00481AB5">
      <w:pPr>
        <w:contextualSpacing/>
        <w:rPr>
          <w:rFonts w:asciiTheme="minorHAnsi" w:hAnsiTheme="minorHAnsi" w:cstheme="minorHAnsi"/>
          <w:bCs/>
        </w:rPr>
      </w:pPr>
    </w:p>
    <w:p w:rsidR="00A82C4C" w:rsidRPr="00145184" w:rsidP="00481AB5">
      <w:pPr>
        <w:contextualSpacing/>
      </w:pPr>
      <w:r>
        <w:rPr>
          <w:noProof/>
        </w:rPr>
        <w:pict>
          <v:rect id="_x0000_i1025" style="height:0.05pt;mso-height-percent:0;mso-width-percent:0;width:468pt" o:hralign="center" o:hrstd="t" o:hr="t" fillcolor="#a0a0a0" stroked="f"/>
        </w:pict>
      </w:r>
    </w:p>
    <w:p w:rsidR="00A82C4C" w:rsidRPr="00145184" w:rsidP="00481AB5">
      <w:pPr>
        <w:contextualSpacing/>
        <w:rPr>
          <w:color w:val="000000" w:themeColor="text1"/>
          <w:sz w:val="52"/>
          <w:szCs w:val="52"/>
        </w:rPr>
      </w:pPr>
      <w:r w:rsidRPr="00145184">
        <w:rPr>
          <w:color w:val="000000" w:themeColor="text1"/>
          <w:sz w:val="52"/>
          <w:szCs w:val="52"/>
        </w:rPr>
        <w:t>94504</w:t>
      </w: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color w:val="000000" w:themeColor="text1"/>
        </w:rPr>
        <w:t xml:space="preserve">Credit code must be texted to </w:t>
      </w:r>
      <w:r w:rsidR="005F3B9E">
        <w:rPr>
          <w:rFonts w:eastAsia="Times New Roman"/>
          <w:color w:val="000000" w:themeColor="text1"/>
          <w:sz w:val="23"/>
          <w:szCs w:val="23"/>
        </w:rPr>
        <w:t>855-776-6263</w:t>
      </w:r>
      <w:r w:rsidRPr="00145184">
        <w:rPr>
          <w:rFonts w:eastAsia="Times New Roman"/>
          <w:color w:val="000000" w:themeColor="text1"/>
          <w:sz w:val="23"/>
          <w:szCs w:val="23"/>
        </w:rPr>
        <w:t xml:space="preserve"> </w:t>
      </w:r>
      <w:r w:rsidRPr="00145184" w:rsidR="004B5CD4">
        <w:rPr>
          <w:color w:val="000000" w:themeColor="text1"/>
        </w:rPr>
        <w:t xml:space="preserve">within </w:t>
      </w:r>
      <w:r w:rsidR="003C7D09">
        <w:rPr>
          <w:color w:val="000000" w:themeColor="text1"/>
        </w:rPr>
        <w:t>14 days</w:t>
      </w:r>
      <w:r w:rsidRPr="00145184" w:rsidR="004B5CD4">
        <w:rPr>
          <w:color w:val="000000" w:themeColor="text1"/>
        </w:rPr>
        <w:t>.</w:t>
      </w:r>
      <w:r w:rsidR="0095596C">
        <w:rPr>
          <w:color w:val="000000" w:themeColor="text1"/>
        </w:rPr>
        <w:t xml:space="preserve">  After texting, log in to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95596C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Pr="00145184" w:rsidR="0095596C">
        <w:rPr>
          <w:rFonts w:eastAsia="Times New Roman"/>
          <w:b/>
          <w:bCs/>
          <w:color w:val="000000" w:themeColor="text1"/>
        </w:rPr>
        <w:t xml:space="preserve"> </w:t>
      </w:r>
      <w:r w:rsidR="0095596C">
        <w:rPr>
          <w:color w:val="000000" w:themeColor="text1"/>
        </w:rPr>
        <w:t>and complete the event evaluation to complete claiming credit.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A82C4C" w:rsidRPr="00145184" w:rsidP="00481AB5">
      <w:pPr>
        <w:contextualSpacing/>
        <w:rPr>
          <w:color w:val="000000" w:themeColor="text1"/>
        </w:rPr>
      </w:pPr>
      <w:r w:rsidRPr="00145184">
        <w:rPr>
          <w:b/>
          <w:bCs/>
          <w:color w:val="000000" w:themeColor="text1"/>
        </w:rPr>
        <w:t>To get started setting up a new account: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eastAsia="Times New Roman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N</w:t>
      </w:r>
      <w:r w:rsidRPr="00145184">
        <w:rPr>
          <w:rFonts w:eastAsia="Times New Roman"/>
          <w:b/>
          <w:bCs/>
          <w:color w:val="000000" w:themeColor="text1"/>
        </w:rPr>
        <w:t>on-Vanderbilt learners: </w:t>
      </w:r>
      <w:r w:rsidR="006F21D4">
        <w:rPr>
          <w:rFonts w:eastAsia="Times New Roman"/>
          <w:b/>
          <w:bCs/>
          <w:color w:val="000000" w:themeColor="text1"/>
        </w:rPr>
        <w:t xml:space="preserve"> 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</w:t>
      </w:r>
      <w:r w:rsidRPr="00BC775B" w:rsidR="006F21D4">
        <w:rPr>
          <w:rStyle w:val="Hyperlink"/>
          <w:rFonts w:eastAsia="Times New Roman"/>
          <w:b/>
          <w:bCs/>
        </w:rPr>
        <w:t>vumc.cloud-cme.com</w:t>
      </w:r>
      <w:r>
        <w:fldChar w:fldCharType="end"/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="00BC775B">
        <w:rPr>
          <w:rFonts w:eastAsia="Times New Roman"/>
          <w:b/>
          <w:bCs/>
          <w:color w:val="000000" w:themeColor="text1"/>
        </w:rPr>
        <w:t xml:space="preserve">and select Sign In &gt; </w:t>
      </w:r>
      <w:r w:rsidRPr="00145184">
        <w:rPr>
          <w:rFonts w:eastAsia="Times New Roman"/>
          <w:b/>
          <w:bCs/>
          <w:color w:val="000000" w:themeColor="text1"/>
        </w:rPr>
        <w:t>Non-Vanderbilt University Medical Center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Don’t have an account?</w:t>
      </w:r>
    </w:p>
    <w:p w:rsidR="00A82C4C" w:rsidRPr="00145184" w:rsidP="00481AB5">
      <w:pPr>
        <w:numPr>
          <w:ilvl w:val="0"/>
          <w:numId w:val="3"/>
        </w:numPr>
        <w:contextualSpacing/>
        <w:rPr>
          <w:rFonts w:cs="Calibri"/>
          <w:color w:val="000000" w:themeColor="text1"/>
        </w:rPr>
      </w:pPr>
      <w:r w:rsidRPr="00145184">
        <w:rPr>
          <w:rFonts w:eastAsia="Times New Roman"/>
          <w:b/>
          <w:bCs/>
          <w:color w:val="000000" w:themeColor="text1"/>
        </w:rPr>
        <w:t>For Vanderbilt learners:  </w:t>
      </w:r>
      <w:r>
        <w:fldChar w:fldCharType="begin"/>
      </w:r>
      <w:r>
        <w:instrText xml:space="preserve"> HYPERLINK "https://vumc.cloud-cme.com" </w:instrText>
      </w:r>
      <w:r>
        <w:fldChar w:fldCharType="separate"/>
      </w:r>
      <w:r w:rsidRPr="00BC775B" w:rsidR="00BC775B">
        <w:rPr>
          <w:rStyle w:val="Hyperlink"/>
          <w:rFonts w:eastAsia="Times New Roman"/>
          <w:b/>
          <w:bCs/>
        </w:rPr>
        <w:t>https://vumc.cloud-cme.com</w:t>
      </w:r>
      <w:r>
        <w:fldChar w:fldCharType="end"/>
      </w:r>
      <w:r w:rsidR="00BC775B">
        <w:rPr>
          <w:rFonts w:eastAsia="Times New Roman"/>
          <w:b/>
          <w:bCs/>
          <w:color w:val="000000" w:themeColor="text1"/>
        </w:rPr>
        <w:t xml:space="preserve"> </w:t>
      </w:r>
      <w:r w:rsidRPr="006F21D4">
        <w:rPr>
          <w:rFonts w:eastAsia="Times New Roman"/>
          <w:b/>
          <w:bCs/>
          <w:color w:val="000000" w:themeColor="text1"/>
        </w:rPr>
        <w:t xml:space="preserve">and select </w:t>
      </w:r>
      <w:r w:rsidRPr="006F21D4" w:rsidR="004B5CD4">
        <w:rPr>
          <w:rFonts w:eastAsia="Times New Roman"/>
          <w:b/>
          <w:bCs/>
          <w:color w:val="000000" w:themeColor="text1"/>
        </w:rPr>
        <w:t>Sign</w:t>
      </w:r>
      <w:r w:rsidRPr="00145184" w:rsidR="004B5CD4">
        <w:rPr>
          <w:rFonts w:eastAsia="Times New Roman"/>
          <w:b/>
          <w:bCs/>
          <w:color w:val="000000" w:themeColor="text1"/>
        </w:rPr>
        <w:t xml:space="preserve"> In</w:t>
      </w:r>
      <w:r w:rsidR="00BC775B">
        <w:rPr>
          <w:rFonts w:eastAsia="Times New Roman"/>
          <w:b/>
          <w:bCs/>
          <w:color w:val="000000" w:themeColor="text1"/>
        </w:rPr>
        <w:t xml:space="preserve"> &gt;</w:t>
      </w:r>
      <w:r w:rsidRPr="00145184">
        <w:rPr>
          <w:rFonts w:eastAsia="Times New Roman"/>
          <w:b/>
          <w:bCs/>
          <w:color w:val="000000" w:themeColor="text1"/>
        </w:rPr>
        <w:t xml:space="preserve"> </w:t>
      </w:r>
      <w:r w:rsidRPr="00145184" w:rsidR="004B5CD4">
        <w:rPr>
          <w:rFonts w:eastAsia="Times New Roman"/>
          <w:b/>
          <w:bCs/>
          <w:color w:val="000000" w:themeColor="text1"/>
        </w:rPr>
        <w:t>VUMC Faculty and Staff</w:t>
      </w:r>
    </w:p>
    <w:p w:rsidR="00A82C4C" w:rsidRPr="00145184" w:rsidP="00481AB5">
      <w:pPr>
        <w:contextualSpacing/>
        <w:rPr>
          <w:color w:val="000000" w:themeColor="text1"/>
        </w:rPr>
      </w:pPr>
    </w:p>
    <w:p w:rsidR="004B5CD4" w:rsidRPr="00145184" w:rsidP="00481AB5">
      <w:pPr>
        <w:contextualSpacing/>
        <w:rPr>
          <w:b/>
          <w:color w:val="000000" w:themeColor="text1"/>
        </w:rPr>
      </w:pPr>
      <w:r w:rsidRPr="00145184">
        <w:rPr>
          <w:b/>
          <w:color w:val="000000" w:themeColor="text1"/>
        </w:rPr>
        <w:t>Texting for the first time?</w:t>
      </w:r>
      <w:r w:rsidR="00BC775B">
        <w:rPr>
          <w:b/>
          <w:color w:val="000000" w:themeColor="text1"/>
        </w:rPr>
        <w:t xml:space="preserve">  Pair your mobile phone to your </w:t>
      </w:r>
      <w:r w:rsidR="00BC775B">
        <w:rPr>
          <w:b/>
          <w:color w:val="000000" w:themeColor="text1"/>
        </w:rPr>
        <w:t>CloudCME</w:t>
      </w:r>
      <w:r w:rsidR="00BC775B">
        <w:rPr>
          <w:b/>
          <w:color w:val="000000" w:themeColor="text1"/>
        </w:rPr>
        <w:t xml:space="preserve"> account.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eastAsia="Times New Roman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your email </w:t>
      </w:r>
      <w:r w:rsidR="00BC775B">
        <w:rPr>
          <w:rFonts w:eastAsia="Times New Roman"/>
          <w:b/>
          <w:bCs/>
          <w:color w:val="000000" w:themeColor="text1"/>
        </w:rPr>
        <w:t xml:space="preserve">address as entered in your </w:t>
      </w:r>
      <w:r w:rsidR="00BC775B">
        <w:rPr>
          <w:rFonts w:eastAsia="Times New Roman"/>
          <w:b/>
          <w:bCs/>
          <w:color w:val="000000" w:themeColor="text1"/>
        </w:rPr>
        <w:t>CloudCME</w:t>
      </w:r>
      <w:r w:rsidR="00BC775B">
        <w:rPr>
          <w:rFonts w:eastAsia="Times New Roman"/>
          <w:b/>
          <w:bCs/>
          <w:color w:val="000000" w:themeColor="text1"/>
        </w:rPr>
        <w:t xml:space="preserve"> p</w:t>
      </w:r>
      <w:r w:rsidRPr="005F3B9E">
        <w:rPr>
          <w:rFonts w:eastAsia="Times New Roman"/>
          <w:b/>
          <w:bCs/>
          <w:color w:val="000000" w:themeColor="text1"/>
        </w:rPr>
        <w:t xml:space="preserve">rofile 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Pr="005F3B9E">
        <w:rPr>
          <w:rFonts w:eastAsia="Times New Roman"/>
          <w:b/>
          <w:bCs/>
          <w:color w:val="000000" w:themeColor="text1"/>
        </w:rPr>
        <w:t>.</w:t>
      </w:r>
    </w:p>
    <w:p w:rsidR="004B5CD4" w:rsidRPr="005F3B9E" w:rsidP="00481AB5">
      <w:pPr>
        <w:numPr>
          <w:ilvl w:val="0"/>
          <w:numId w:val="3"/>
        </w:numPr>
        <w:contextualSpacing/>
        <w:rPr>
          <w:rFonts w:cs="Calibri"/>
          <w:b/>
          <w:color w:val="000000" w:themeColor="text1"/>
        </w:rPr>
      </w:pPr>
      <w:r w:rsidRPr="005F3B9E">
        <w:rPr>
          <w:rFonts w:eastAsia="Times New Roman"/>
          <w:b/>
          <w:bCs/>
          <w:color w:val="000000" w:themeColor="text1"/>
        </w:rPr>
        <w:t xml:space="preserve">Text the provided code </w:t>
      </w:r>
      <w:r w:rsidR="00BC775B">
        <w:rPr>
          <w:rFonts w:eastAsia="Times New Roman"/>
          <w:b/>
          <w:bCs/>
          <w:color w:val="000000" w:themeColor="text1"/>
        </w:rPr>
        <w:t xml:space="preserve">above </w:t>
      </w:r>
      <w:r w:rsidRPr="005F3B9E">
        <w:rPr>
          <w:rFonts w:eastAsia="Times New Roman"/>
          <w:b/>
          <w:bCs/>
          <w:color w:val="000000" w:themeColor="text1"/>
        </w:rPr>
        <w:t xml:space="preserve">to </w:t>
      </w:r>
      <w:r w:rsidRPr="005F3B9E" w:rsidR="005F3B9E">
        <w:rPr>
          <w:rFonts w:eastAsia="Times New Roman"/>
          <w:b/>
          <w:color w:val="000000" w:themeColor="text1"/>
        </w:rPr>
        <w:t>855-776-6263</w:t>
      </w:r>
      <w:r w:rsidR="00BC775B">
        <w:rPr>
          <w:rFonts w:eastAsia="Times New Roman"/>
          <w:b/>
          <w:color w:val="000000" w:themeColor="text1"/>
        </w:rPr>
        <w:t xml:space="preserve"> to claim credit</w:t>
      </w:r>
      <w:r w:rsidR="005F3B9E">
        <w:rPr>
          <w:rFonts w:eastAsia="Times New Roman"/>
          <w:b/>
          <w:color w:val="000000" w:themeColor="text1"/>
        </w:rPr>
        <w:t>.</w:t>
      </w:r>
    </w:p>
    <w:p w:rsidR="004B5CD4" w:rsidRPr="00145184" w:rsidP="00481AB5">
      <w:pPr>
        <w:contextualSpacing/>
        <w:rPr>
          <w:b/>
          <w:color w:val="000000" w:themeColor="text1"/>
        </w:rPr>
      </w:pPr>
    </w:p>
    <w:p w:rsidR="00A82C4C" w:rsidRPr="00145184" w:rsidP="00481AB5">
      <w:pPr>
        <w:contextualSpacing/>
        <w:jc w:val="center"/>
        <w:rPr>
          <w:color w:val="000000" w:themeColor="text1"/>
        </w:rPr>
      </w:pPr>
      <w:r w:rsidRPr="00145184">
        <w:rPr>
          <w:color w:val="000000" w:themeColor="text1"/>
        </w:rPr>
        <w:t xml:space="preserve">If you </w:t>
      </w:r>
      <w:r w:rsidR="00B45799">
        <w:rPr>
          <w:color w:val="000000" w:themeColor="text1"/>
        </w:rPr>
        <w:t>need assistance claiming credit, please contact</w:t>
      </w:r>
    </w:p>
    <w:p w:rsidR="00A82C4C" w:rsidRPr="00145184" w:rsidP="00481AB5">
      <w:pPr>
        <w:contextualSpacing/>
        <w:jc w:val="center"/>
      </w:pPr>
      <w:r>
        <w:rPr>
          <w:noProof/>
        </w:rPr>
        <w:t>Amy Swanson</w:t>
      </w:r>
    </w:p>
    <w:p w:rsidR="00A82C4C" w:rsidP="00481AB5">
      <w:pPr>
        <w:contextualSpacing/>
        <w:jc w:val="center"/>
        <w:rPr>
          <w:noProof/>
        </w:rPr>
      </w:pPr>
      <w:r>
        <w:rPr>
          <w:noProof/>
        </w:rPr>
        <w:t>amy.r.swanson@vumc.org</w:t>
      </w:r>
    </w:p>
    <w:p w:rsidR="00442B21" w:rsidRPr="006959B0" w:rsidP="006959B0">
      <w:pPr>
        <w:contextualSpacing/>
        <w:jc w:val="center"/>
      </w:pPr>
      <w:r>
        <w:rPr>
          <w:noProof/>
        </w:rPr>
        <w:t xml:space="preserve">or visit </w:t>
      </w:r>
      <w:r>
        <w:fldChar w:fldCharType="begin"/>
      </w:r>
      <w:r>
        <w:instrText xml:space="preserve"> HYPERLINK "https://vumc.cloud-cme.com/about/help" </w:instrText>
      </w:r>
      <w:r>
        <w:fldChar w:fldCharType="separate"/>
      </w:r>
      <w:r w:rsidRPr="009B4F1A">
        <w:rPr>
          <w:rStyle w:val="Hyperlink"/>
          <w:rFonts w:eastAsia="Times New Roman"/>
          <w:bCs/>
        </w:rPr>
        <w:t>https://vumc.cloud-cme.com/about/help</w:t>
      </w:r>
      <w:r>
        <w:fldChar w:fldCharType="end"/>
      </w:r>
    </w:p>
    <w:sectPr w:rsidSect="00686A75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hitney Semibold">
    <w:altName w:val="Whitney Semibold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A641DE"/>
    <w:multiLevelType w:val="hybridMultilevel"/>
    <w:tmpl w:val="4BA8E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7F65C7"/>
    <w:multiLevelType w:val="multilevel"/>
    <w:tmpl w:val="A596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B4E7D"/>
    <w:multiLevelType w:val="hybridMultilevel"/>
    <w:tmpl w:val="96E0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742A4"/>
    <w:multiLevelType w:val="hybridMultilevel"/>
    <w:tmpl w:val="8E7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14753C"/>
    <w:multiLevelType w:val="hybridMultilevel"/>
    <w:tmpl w:val="A394F3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>
    <w:nsid w:val="6BFE50EE"/>
    <w:multiLevelType w:val="multilevel"/>
    <w:tmpl w:val="1664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7B6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B69"/>
    <w:rPr>
      <w:color w:val="0563C1"/>
      <w:u w:val="single"/>
    </w:rPr>
  </w:style>
  <w:style w:type="table" w:styleId="TableGrid">
    <w:name w:val="Table Grid"/>
    <w:basedOn w:val="TableNormal"/>
    <w:uiPriority w:val="59"/>
    <w:rsid w:val="00335005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5005"/>
    <w:pPr>
      <w:widowControl w:val="0"/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3A4B62"/>
    <w:pPr>
      <w:autoSpaceDE w:val="0"/>
      <w:autoSpaceDN w:val="0"/>
      <w:adjustRightInd w:val="0"/>
      <w:spacing w:after="0" w:line="240" w:lineRule="auto"/>
    </w:pPr>
    <w:rPr>
      <w:rFonts w:ascii="Whitney Semibold" w:eastAsia="Times New Roman" w:hAnsi="Whitney Semibold" w:cs="Whitney Semibold"/>
      <w:color w:val="000000"/>
      <w:sz w:val="24"/>
      <w:szCs w:val="24"/>
    </w:rPr>
  </w:style>
  <w:style w:type="character" w:customStyle="1" w:styleId="A3">
    <w:name w:val="A3"/>
    <w:uiPriority w:val="99"/>
    <w:rsid w:val="003A4B62"/>
    <w:rPr>
      <w:rFonts w:cs="Whitney Semibol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3A4B62"/>
    <w:pPr>
      <w:spacing w:line="241" w:lineRule="atLeast"/>
    </w:pPr>
    <w:rPr>
      <w:rFonts w:cs="Times New Roman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FA4AB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7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7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75B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75B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Bahlinger, Nanette</dc:creator>
  <cp:lastModifiedBy>Tyler Browne</cp:lastModifiedBy>
  <cp:revision>3</cp:revision>
  <dcterms:created xsi:type="dcterms:W3CDTF">2022-04-22T18:23:00Z</dcterms:created>
  <dcterms:modified xsi:type="dcterms:W3CDTF">2022-04-22T19:08:00Z</dcterms:modified>
</cp:coreProperties>
</file>