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93979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 xml:space="preserve"> Alzheimer's Disease Research Day CME APA 2024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Morning Session #2: Large-Scale Imaging Data Integration in Alzheimer’s Disease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 xml:space="preserve"> Alzheimer's Disease Research Day CME APA 2024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Morning Session #2: Large-Scale Imaging Data Integration in Alzheimer’s Disease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10:30</w:t>
      </w:r>
      <w:r w:rsidRPr="00145184" w:rsidR="00A17BBD">
        <w:t xml:space="preserve"> April 10, 2024</w:t>
      </w:r>
      <w:r w:rsidR="00BC157D">
        <w:t xml:space="preserve"> </w:t>
      </w:r>
      <w:r w:rsidR="00A41F81">
        <w:t xml:space="preserve"> - </w:t>
      </w:r>
      <w:r w:rsidR="00A41F81">
        <w:t>11:30 April, 10,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Review current updates in Alzheimer's and related dementia research surrounding large-scale data applications.*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Develop strategies for overcoming multi-site data integration challenges in Alzheimer’s research.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Gain insight into harmonization techniques for large-scale neuroimaging data.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Generate opportunities for research collaboration to synergize advances in Alzheimer’s disease.*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“big data” resources for research on Alzheimer’s disease and related dementias.*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omics-based methodologies that can advance understanding of Alzheimer’s pathophysiology.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Develop strategies for overcoming multi-site data integration challenges in Alzheimer’s research.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Discuss the advantages and limitations of using Medicare claims data for monitoring Alzheimer’s disease and related dementias.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Gain insight into harmonization techniques for large-scale neuroimaging data.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8 Identify key principles, frameworks, and best practices to promote data equity.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Evaluate the potential of artificial intelligence in repurposing drugs for Alzheimer’s disease and related dementias.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10 Discuss applications for estimating and leveraging genetic predictors of neuroimaging derived phenotypes.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Discuss the integration of multiple forms of molecular imaging and how they can be applied to study disease.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12 Provide new findings from multi-omics technologies that can help move toward precision medicine interventions.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Discuss how deep learning can contribute to understanding the heterogeneity of brain aging.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Explore applications of deep learning methods for imaging genomics.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Apply best practices to implement data equity approaches.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Review current updates in Alzheimer's and related dementia research surrounding large-scale data applications.*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Develop strategies for overcoming multi-site data integration challenges in Alzheimer’s research.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Gain insight into harmonization techniques for large-scale neuroimaging data.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Generate opportunities for research collaboration to synergize advances in Alzheimer’s disease.*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“big data” resources for research on Alzheimer’s disease and related dementias.*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omics-based methodologies that can advance understanding of Alzheimer’s pathophysiology.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Develop strategies for overcoming multi-site data integration challenges in Alzheimer’s research.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Discuss the advantages and limitations of using Medicare claims data for monitoring Alzheimer’s disease and related dementias.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Gain insight into harmonization techniques for large-scale neuroimaging data.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8 Identify key principles, frameworks, and best practices to promote data equity.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>9 Evaluate the potential of artificial intelligence in repurposing drugs for Alzheimer’s disease and related dementias.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10 Discuss applications for estimating and leveraging genetic predictors of neuroimaging derived phenotypes.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Discuss the integration of multiple forms of molecular imaging and how they can be applied to study disease.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12 Provide new findings from multi-omics technologies that can help move toward precision medicine interventions.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Discuss how deep learning can contribute to understanding the heterogeneity of brain aging.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Explore applications of deep learning methods for imaging genomics.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Apply best practices to implement data equity approaches.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Cs/>
        </w:rPr>
        <w:t xml:space="preserve"> resources for research on Alzheimer’s disease and related dementias.*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4 Describe omics-based methodologies that can advance understanding of Alzheimer’s pathophysiology.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5 Develop strategies for overcoming multi-site data integration challenges in Alzheimer’s research.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6 Discuss the advantages and limitations of using Medicare claims data for monitoring Alzheimer’s disease and related dementias.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7 Gain insight into harmonization techniques for large-scale neuroimaging data.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t xml:space="preserve">8 Identify key principles, frameworks, and best practices to promote data equity. 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t>9 Evaluate the potential of artificial intelligence in repurposing drugs for Alzheimer’s disease and related dementias.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10 Discuss applications for estimating and leveraging genetic predictors of neuroimaging derived phenotypes.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11 Discuss the integration of multiple forms of molecular imaging and how they can be applied to study disease.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12 Provide new findings from multi-omics technologies that can help move toward precision medicine interventions.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13 Discuss how deep learning can contribute to understanding the heterogeneity of brain aging.</w: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t>14 Explore applications of deep learning methods for imaging genomics.</w:t>
      </w:r>
    </w:p>
    <w:p w:rsidP="00481AB5">
      <w:pPr>
        <w:contextualSpacing/>
        <w:rPr>
          <w:bCs/>
        </w:rPr>
      </w:pPr>
      <w:r w:rsidR="00CE38A1">
        <w:rPr>
          <w:bCs/>
        </w:rPr>
        <w:t>15 Apply best practices to implement data equity approaches.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Biochemistry, Biomedical Informatics, Biostatistics, Cell And Developmental Biology, Health Policy, Medicine, Molecular Physiology &amp;Amp; Biophysics,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Biochemistry, Biomedical Informatics, Biostatistics, Cell And Developmental Biology, Health Policy, Medicine, Molecular Physiology &amp;Amp; Biophysics,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Biochemistry, Biomedical Informatics, Biostatistics, Cell And Developmental Biology, Health Policy, Medicine, Molecular Physiology &amp;Amp; Biophysics,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Bennett Landman,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Gamazon,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Wei-Qi Wei,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Laura M Keohane,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E Below 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Ashley Emerson,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Elena Griffo,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Kruse,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Francis E Cambronero,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Christos Davatzikos,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- 03/27/2024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94513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Elena Griffo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elena.griffo@vumc.org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