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Promoting Professionalism: Addressing Behaviors that Undermine a Culture of Safety and Respect - 2024 CME NCPD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Promoting Professionalism: Addressing Behaviors that Undermine a Culture of Safety and Respect - 2024 CME NCPD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03:00</w:t>
      </w:r>
      <w:r w:rsidRPr="00145184" w:rsidR="00A17BBD">
        <w:t xml:space="preserve"> October 28, 2024</w:t>
      </w:r>
      <w:r w:rsidR="00BC157D">
        <w:t xml:space="preserve"> </w:t>
      </w:r>
      <w:r w:rsidR="00A41F81">
        <w:t xml:space="preserve"> - </w:t>
      </w:r>
      <w:r w:rsidR="00A41F81">
        <w:t>02:00 October, 29,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8.25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8.25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bCs/>
        </w:rPr>
        <w:t>Vanderbilt University Medical Center, Nursing Education and Professional Development, is accredited as a provider of</w:t>
      </w:r>
      <w:r>
        <w:rPr>
          <w:bCs/>
        </w:rPr>
        <w:t xml:space="preserve"> </w:t>
      </w:r>
      <w:r w:rsidRPr="00D004FB">
        <w:rPr>
          <w:bCs/>
        </w:rPr>
        <w:t>nursing continuing professional development by the American Nurses Credentialing Center’s Commission on Accreditation.</w:t>
      </w:r>
    </w:p>
    <w:p w:rsidR="00D004F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 w:rsidRPr="00072CAB" w:rsid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8.25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8.25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8.25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8.25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instrText>8.25</w:instrText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 w:rsidR="00481AB5">
        <w:rPr>
          <w:bCs/>
        </w:rPr>
        <w:t xml:space="preserve">This activity is designated to award a maximum of </w:t>
      </w:r>
      <w:r w:rsidR="00481AB5">
        <w:rPr>
          <w:bCs/>
        </w:rPr>
        <w:t>8.25</w:t>
      </w:r>
      <w:r w:rsidR="00481AB5">
        <w:rPr>
          <w:bCs/>
        </w:rPr>
        <w:t xml:space="preserve"> ANCC contact hour(s).</w:t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Discuss the relationships between behaviors that undermine a culture of safety and suboptimal outcomes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 method that may be used for identifying professionals with a pattern of behaviors that undermine a culture of safety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Identify a range of behaviors that undermine a culture of safety and describe a “professional accountability pyramid”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Describe an evidence-based approach for addressing behaviors that undermine a culture of safety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Discuss three graduated levels of interventions for addressing behaviors that undermine a culture of safety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Consider pertinent legal issues in addressing behaviors that undermine a culture of safety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the relationships between behaviors that undermine a culture of safety and suboptimal outcomes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 method that may be used for identifying professionals with a pattern of behaviors that undermine a culture of safety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Identify a range of behaviors that undermine a culture of safety and describe a “professional accountability pyramid”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Describe an evidence-based approach for addressing behaviors that undermine a culture of safety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Discuss three graduated levels of interventions for addressing behaviors that undermine a culture of safety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Consider pertinent legal issues in addressing behaviors that undermine a culture of safety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Cs/>
        </w:rPr>
        <w:t>pyramid</w:t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1 100% of participants who complete the evaluation will self-report increased knowledge regarding the relationship between behaviors that undermine a culture of safety and suboptimal outcomes, and evidence-based approaches for addressing these behaviors.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2 100% of participants will successfully engage in the practice sessions to provide non-judgmental feedback about perceptions of unprofessional behavior as reported by a coworker or patient/family member.?  ?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1 100% of participants who complete the evaluation will self-report increased knowledge regarding the relationship between behaviors that undermine a culture of safety and suboptimal outcomes, and evidence-based approaches for addressing these behaviors.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2 100% of participants will successfully engage in the practice sessions to provide non-judgmental feedback about perceptions of unprofessional behavior as reported by a coworker or patient/family member.?  ?</w:instrText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/>
        </w:rPr>
        <w:t>Learning Outcomes</w:t>
      </w:r>
    </w:p>
    <w:p w:rsidR="00CE38A1" w:rsidP="00481AB5">
      <w:pPr>
        <w:contextualSpacing/>
        <w:rPr>
          <w:bCs/>
        </w:rPr>
      </w:pPr>
      <w:r>
        <w:rPr>
          <w:bCs/>
        </w:rPr>
        <w:t>1 100% of participants who complete the evaluation will self-report increased knowledge regarding the relationship between behaviors that undermine a culture of safety and suboptimal outcomes, and evidence-based approaches for addressing these behaviors.</w:t>
      </w:r>
    </w:p>
    <w:p w:rsidR="00F46F37" w:rsidP="00481AB5">
      <w:pPr>
        <w:contextualSpacing/>
        <w:rPr>
          <w:bCs/>
        </w:rPr>
      </w:pPr>
      <w:r>
        <w:rPr>
          <w:bCs/>
        </w:rPr>
        <w:t>2 100% of participants will successfully engage in the practice sessions to provide non-judgmental feedback about perceptions of unprofessional behavior as reported by a coworker or patient/family member.?  ?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Other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financial relationships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Gerald B Hickson,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Bureau-Medtronic - 09/26/2024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Celeste O Hemingway,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William Martinez,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support-National Institutes of Health|Grant or research support-Agency for Healthcare Research and Quality - 09/11/2024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William O Cooper,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Lynn Webb,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Charles E Reiter III, JD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Tom Catron,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Heather Davidson,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Tom Doub,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Cynthia Baldwin,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CARLA I ( HAACK,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Alice Krumm, DNP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Elisa Arespacochaga,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Courtney Necessary,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- 12/21/2023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Nicolette Kostiw,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- 10/08/2024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95262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Mercedes Panzer, Craig Breedlove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mercedes.panzer@vumc.org, craig.a.breedlove@vumc.org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