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Increasing Comfort of Pediatric Subspecialty Care ECHO Series -2024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Increasing Comfort of Pediatric Subspecialty Care ECHO Series -2024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October 3, 2024</w:t>
      </w:r>
      <w:r w:rsidR="00BC157D">
        <w:t xml:space="preserve"> </w:t>
      </w:r>
      <w:r w:rsidR="00A41F81">
        <w:t xml:space="preserve"> - </w:t>
      </w:r>
      <w:r w:rsidR="00A41F81">
        <w:t>01:00 October, 3,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Activity,PI CME activity</w:instrText>
      </w:r>
      <w:r>
        <w:instrText>"</w:instrText>
      </w:r>
      <w:r>
        <w:instrText xml:space="preserve"> &lt;&gt; "" "</w:instrText>
      </w:r>
      <w:r>
        <w:instrText>live activity,pi cme activity</w:instrText>
      </w:r>
      <w:r>
        <w:instrText xml:space="preserve">" "activity" </w:instrText>
      </w:r>
      <w:r>
        <w:fldChar w:fldCharType="separate"/>
      </w:r>
      <w:r>
        <w:instrText>live activity,pi cme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activity,pi cme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 xml:space="preserve">1 List guideline-concordant treatment recommendations for common pediatric infections, including otitis media, sinusitis, community-acquired pneumonia and Group A streptococcal pharyngitis.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Discuss issues that clinicians face in treating children living in rural and underserved areas.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 List guideline-concordant treatment recommendations for common pediatric infections, including otitis media, sinusitis, community-acquired pneumonia and Group A streptococcal pharyngitis.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Discuss issues that clinicians face in treating children living in rural and underserved areas.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 xml:space="preserve">1 List guideline-concordant treatment recommendations for common pediatric infections, including otitis media, sinusitis, community-acquired pneumonia and Group A streptococcal pharyngitis.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Discuss issues that clinicians face in treating children living in rural and underserved areas.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Sophie E Katz,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support-Pfizer|Consulting Fee-Optum - 10/23/2023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Hook,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Walter Dehority,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(Relationship has ended)|Grant or research support-Moderna (Relationship has ended) - 08/19/2024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95513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Michael Hook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michael.hook@vumc.org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